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EP049 Publication Desk Exercise</w:t>
      </w:r>
    </w:p>
    <w:p>
      <w:pPr/>
      <w:r>
        <w:rPr>
          <w:b w:val="0"/>
        </w:rPr>
        <w:t>Companion resource for October 12, 2026. Fictional paper exercise only. No detector access or real document upload is required. This is not a performance benchmark or legal compliance test.</w:t>
      </w:r>
    </w:p>
    <w:p>
      <w:pPr>
        <w:pStyle w:val="Heading1"/>
      </w:pPr>
      <w:r>
        <w:t>Prepare Before the Clock</w:t>
      </w:r>
    </w:p>
    <w:p>
      <w:pPr/>
      <w:r>
        <w:rPr>
          <w:b w:val="0"/>
        </w:rPr>
        <w:t xml:space="preserve">Invent a community workshop and an organizer. The independently confirmed reference record says </w:t>
      </w:r>
      <w:r>
        <w:rPr>
          <w:b/>
        </w:rPr>
        <w:t>11 a.m.</w:t>
      </w:r>
      <w:r>
        <w:rPr>
          <w:b w:val="0"/>
        </w:rPr>
        <w:t xml:space="preserve"> Prepare three identical notices that say </w:t>
      </w:r>
      <w:r>
        <w:rPr>
          <w:b/>
        </w:rPr>
        <w:t>10 a.m.</w:t>
      </w:r>
      <w:r>
        <w:rPr>
          <w:b w:val="0"/>
        </w:rPr>
        <w:t>, with the same unconfirmed sender information. No real phone number, email address or registration link is needed.</w:t>
      </w:r>
    </w:p>
    <w:p>
      <w:pPr/>
      <w:r>
        <w:rPr>
          <w:b w:val="0"/>
        </w:rPr>
        <w:t>Fictional submission policy: permitted writing assistance does not remove the contributor's responsibility for event details. The desk must verify the organizer and final notice before publication. State any additional fictional provenance rule before reviewing the cards.</w:t>
      </w:r>
    </w:p>
    <w:p>
      <w:pPr/>
      <w:r>
        <w:rPr>
          <w:b w:val="0"/>
        </w:rPr>
        <w:t>Assign a fact reviewer, a sender-verification owner and a responsible editor. Add an observer if possible. One person can fill multiple roles, but record the separate decisions.</w:t>
      </w:r>
    </w:p>
    <w:p>
      <w:pPr>
        <w:pStyle w:val="Heading1"/>
      </w:pPr>
      <w:r>
        <w:t>Three Result Cards</w:t>
      </w:r>
    </w:p>
    <w:tbl>
      <w:tblPr>
        <w:tblW w:type="auto" w:w="0"/>
        <w:tblLayout w:type="fixed"/>
        <w:tblLook w:firstColumn="1" w:firstRow="1" w:lastColumn="0" w:lastRow="0" w:noHBand="0" w:noVBand="1" w:val="04A0"/>
      </w:tblPr>
      <w:tblGrid>
        <w:gridCol w:w="936"/>
        <w:gridCol w:w="3384"/>
        <w:gridCol w:w="2160"/>
        <w:gridCol w:w="3456"/>
      </w:tblGrid>
      <w:tr>
        <w:trPr>
          <w:cantSplit/>
          <w:tblHeader/>
        </w:trPr>
        <w:tc>
          <w:tcPr>
            <w:tcW w:type="dxa" w:w="9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Version</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Hypothetical provenance result</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Workshop time</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Sender information</w:t>
            </w:r>
          </w:p>
        </w:tc>
      </w:tr>
      <w:tr>
        <w:trPr>
          <w:cantSplit/>
        </w:trPr>
        <w:tc>
          <w:tcPr>
            <w:tcW w:type="dxa" w:w="9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A</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Watermark reported</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Notice 10; reference 11</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Unconfirmed</w:t>
            </w:r>
          </w:p>
        </w:tc>
      </w:tr>
      <w:tr>
        <w:trPr>
          <w:cantSplit/>
        </w:trPr>
        <w:tc>
          <w:tcPr>
            <w:tcW w:type="dxa" w:w="9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100" w:before="100"/>
            </w:pPr>
            <w:r>
              <w:rPr>
                <w:b w:val="0"/>
                <w:color w:val="000000"/>
                <w:sz w:val="22"/>
              </w:rPr>
              <w:t>B</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100" w:before="100"/>
            </w:pPr>
            <w:r>
              <w:rPr>
                <w:b w:val="0"/>
                <w:color w:val="000000"/>
                <w:sz w:val="22"/>
              </w:rPr>
              <w:t>No watermark reported</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100" w:before="100"/>
            </w:pPr>
            <w:r>
              <w:rPr>
                <w:b w:val="0"/>
                <w:color w:val="000000"/>
                <w:sz w:val="22"/>
              </w:rPr>
              <w:t>Notice 10; reference 11</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100" w:before="100"/>
            </w:pPr>
            <w:r>
              <w:rPr>
                <w:b w:val="0"/>
                <w:color w:val="000000"/>
                <w:sz w:val="22"/>
              </w:rPr>
              <w:t>Unconfirmed</w:t>
            </w:r>
          </w:p>
        </w:tc>
      </w:tr>
      <w:tr>
        <w:trPr>
          <w:cantSplit/>
        </w:trPr>
        <w:tc>
          <w:tcPr>
            <w:tcW w:type="dxa" w:w="93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C</w:t>
            </w:r>
          </w:p>
        </w:tc>
        <w:tc>
          <w:tcPr>
            <w:tcW w:type="dxa" w:w="338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No usable result</w:t>
            </w:r>
          </w:p>
        </w:tc>
        <w:tc>
          <w:tcPr>
            <w:tcW w:type="dxa" w:w="2160"/>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Notice 10; reference 11</w:t>
            </w:r>
          </w:p>
        </w:tc>
        <w:tc>
          <w:tcPr>
            <w:tcW w:type="dxa" w:w="3456"/>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100" w:before="100"/>
            </w:pPr>
            <w:r>
              <w:rPr>
                <w:b w:val="0"/>
                <w:color w:val="000000"/>
                <w:sz w:val="22"/>
              </w:rPr>
              <w:t>Unconfirmed</w:t>
            </w:r>
          </w:p>
        </w:tc>
      </w:tr>
    </w:tbl>
    <w:p/>
    <w:p>
      <w:pPr/>
      <w:r>
        <w:rPr>
          <w:b w:val="0"/>
        </w:rPr>
        <w:t>Only the result card changes. These are invented labels, not predictions or actual outputs.</w:t>
      </w:r>
    </w:p>
    <w:p>
      <w:r>
        <w:br w:type="page"/>
      </w:r>
    </w:p>
    <w:p>
      <w:pPr>
        <w:pStyle w:val="Heading1"/>
      </w:pPr>
      <w:r>
        <w:t>Run the Forty Five Minute Exercise</w:t>
      </w:r>
    </w:p>
    <w:p>
      <w:pPr>
        <w:pStyle w:val="ListNumber"/>
      </w:pPr>
      <w:r>
        <w:rPr>
          <w:b w:val="0"/>
        </w:rPr>
      </w:r>
      <w:r>
        <w:rPr>
          <w:b/>
        </w:rPr>
        <w:t>5 minutes - define authority.</w:t>
      </w:r>
      <w:r>
        <w:rPr>
          <w:b w:val="0"/>
        </w:rPr>
        <w:t xml:space="preserve"> Name what the desk can release, what it cannot decide, and who handles policy or methods questions.</w:t>
      </w:r>
    </w:p>
    <w:p>
      <w:pPr>
        <w:pStyle w:val="ListNumber"/>
      </w:pPr>
      <w:r>
        <w:rPr>
          <w:b w:val="0"/>
        </w:rPr>
      </w:r>
      <w:r>
        <w:rPr>
          <w:b/>
        </w:rPr>
        <w:t>10 minutes - inspect evidence.</w:t>
      </w:r>
      <w:r>
        <w:rPr>
          <w:b w:val="0"/>
        </w:rPr>
        <w:t xml:space="preserve"> For every card, record the conflicting time, sender gap, what the result says and what it does not establish. Do not count repeated copies of one source as independent confirmation.</w:t>
      </w:r>
    </w:p>
    <w:p>
      <w:pPr>
        <w:pStyle w:val="ListNumber"/>
      </w:pPr>
      <w:r>
        <w:rPr>
          <w:b w:val="0"/>
        </w:rPr>
      </w:r>
      <w:r>
        <w:rPr>
          <w:b/>
        </w:rPr>
        <w:t>10 minutes - disposition and new evidence.</w:t>
      </w:r>
      <w:r>
        <w:rPr>
          <w:b w:val="0"/>
        </w:rPr>
        <w:t xml:space="preserve"> All three need the same fact and sender work. Use release, hold or return for clarification with a stated reason. Then give all three the same new evidence: the independently reached organizer confirms 11 and approves corrected wording. Record what closes and which policy question, if any, remains.</w:t>
      </w:r>
    </w:p>
    <w:p>
      <w:pPr>
        <w:pStyle w:val="ListNumber"/>
      </w:pPr>
      <w:r>
        <w:rPr>
          <w:b w:val="0"/>
        </w:rPr>
      </w:r>
      <w:r>
        <w:rPr>
          <w:b/>
        </w:rPr>
        <w:t>10 minutes - version change.</w:t>
      </w:r>
      <w:r>
        <w:rPr>
          <w:b w:val="0"/>
        </w:rPr>
        <w:t xml:space="preserve"> Replace the registration route in the revised notice while leaving an earlier report attached. Check whether the evidence and approval describe the actual version now under consideration.</w:t>
      </w:r>
    </w:p>
    <w:p>
      <w:pPr>
        <w:pStyle w:val="ListNumber"/>
      </w:pPr>
      <w:r>
        <w:rPr>
          <w:b w:val="0"/>
        </w:rPr>
      </w:r>
      <w:r>
        <w:rPr>
          <w:b/>
        </w:rPr>
        <w:t>10 minutes - write the procedure.</w:t>
      </w:r>
      <w:r>
        <w:rPr>
          <w:b w:val="0"/>
        </w:rPr>
        <w:t xml:space="preserve"> Record the decision owner, required evidence, unsupported-result handling, clarification path and correction route. Name who maintains it and what change triggers a review.</w:t>
      </w:r>
    </w:p>
    <w:p>
      <w:r>
        <w:br w:type="page"/>
      </w:r>
    </w:p>
    <w:p>
      <w:pPr>
        <w:pStyle w:val="Heading1"/>
      </w:pPr>
      <w:r>
        <w:t>Decision Record</w:t>
      </w:r>
    </w:p>
    <w:tbl>
      <w:tblPr>
        <w:tblW w:type="auto" w:w="0"/>
        <w:tblLayout w:type="fixed"/>
        <w:tblLook w:firstColumn="1" w:firstRow="1" w:lastColumn="0" w:lastRow="0" w:noHBand="0" w:noVBand="1" w:val="04A0"/>
      </w:tblPr>
      <w:tblGrid>
        <w:gridCol w:w="3672"/>
        <w:gridCol w:w="6264"/>
      </w:tblGrid>
      <w:tr>
        <w:trPr>
          <w:cantSplit/>
          <w:tblHeader/>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Field</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173F55"/>
          </w:tcPr>
          <w:p>
            <w:pPr>
              <w:spacing w:after="100" w:before="100"/>
            </w:pPr>
            <w:r>
              <w:rPr>
                <w:b/>
                <w:color w:val="FFFFFF"/>
                <w:sz w:val="22"/>
              </w:rPr>
              <w:t>Reviewer entry</w:t>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t>Version considered</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t>Verified fact and evidence</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t>Sender-verification route and owner</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t>Assistance account and applicable rule</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t>Result scope and limitations</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t>Remaining unknowns</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t>Release / hold / clarification</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t>Reason and responsible editor</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t>Next action and review time</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3F5F6"/>
          </w:tcPr>
          <w:p>
            <w:pPr>
              <w:spacing w:after="240" w:before="100"/>
            </w:pPr>
            <w:r>
              <w:rPr>
                <w:b w:val="0"/>
                <w:color w:val="000000"/>
                <w:sz w:val="22"/>
              </w:rPr>
            </w:r>
          </w:p>
        </w:tc>
      </w:tr>
      <w:tr>
        <w:trPr>
          <w:cantSplit/>
        </w:trPr>
        <w:tc>
          <w:tcPr>
            <w:tcW w:type="dxa" w:w="3672"/>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t>Correction route if already sent</w:t>
            </w:r>
          </w:p>
        </w:tc>
        <w:tc>
          <w:tcPr>
            <w:tcW w:type="dxa" w:w="6264"/>
            <w:vAlign w:val="center"/>
            <w:tcBorders>
              <w:top w:val="single" w:sz="4" w:color="D9D9D9"/>
              <w:left w:val="single" w:sz="4" w:color="D9D9D9"/>
              <w:bottom w:val="single" w:sz="4" w:color="D9D9D9"/>
              <w:right w:val="single" w:sz="4" w:color="D9D9D9"/>
            </w:tcBorders>
            <w:tcMar>
              <w:top w:w="100" w:type="dxa"/>
              <w:left w:w="100" w:type="dxa"/>
              <w:bottom w:w="100" w:type="dxa"/>
              <w:right w:w="100" w:type="dxa"/>
            </w:tcMar>
            <w:shd w:fill="FFFFFF"/>
          </w:tcPr>
          <w:p>
            <w:pPr>
              <w:spacing w:after="240" w:before="100"/>
            </w:pPr>
            <w:r>
              <w:rPr>
                <w:b w:val="0"/>
                <w:color w:val="000000"/>
                <w:sz w:val="22"/>
              </w:rPr>
            </w:r>
          </w:p>
        </w:tc>
      </w:tr>
    </w:tbl>
    <w:p/>
    <w:p>
      <w:pPr/>
      <w:r>
        <w:rPr>
          <w:b w:val="0"/>
        </w:rPr>
        <w:t>Success is a defensible publication decision with open items assigned, not a score or an accusation. Retain no invented personal information as if it were a real record. Any real service test needs separate access, data-handling and evaluation authorization.</w:t>
      </w:r>
    </w:p>
    <w:sectPr w:rsidR="00FC693F" w:rsidRPr="0006063C" w:rsidSect="00034616">
      <w:headerReference w:type="default" r:id="rId9"/>
      <w:footerReference w:type="default" r:id="rId10"/>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Fictional paper exercise  |  October 12 2026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AI CHANGE DESK  |  EP049</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