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before="0" w:after="80" w:line="269" w:lineRule="auto"/>
      </w:pPr>
      <w:r>
        <w:rPr>
          <w:rFonts w:ascii="Arial" w:hAnsi="Arial"/>
          <w:b/>
          <w:i w:val="0"/>
          <w:color w:val="34D1BF"/>
          <w:sz w:val="17"/>
        </w:rPr>
        <w:t>AI CHANGE DESK | OPERATOR FIELD WORKSHEET</w:t>
      </w:r>
    </w:p>
    <w:p>
      <w:pPr>
        <w:keepNext/>
        <w:spacing w:before="0" w:after="140" w:line="269" w:lineRule="auto"/>
      </w:pPr>
      <w:r>
        <w:rPr>
          <w:rFonts w:ascii="Arial" w:hAnsi="Arial"/>
          <w:b/>
          <w:i w:val="0"/>
          <w:color w:val="0B1220"/>
          <w:sz w:val="50"/>
        </w:rPr>
        <w:t>AI Audit Trail</w:t>
        <w:br/>
        <w:t>Two-Plane Privacy Receipt</w:t>
      </w:r>
    </w:p>
    <w:p>
      <w:pPr>
        <w:keepNext w:val="0"/>
        <w:spacing w:before="0" w:after="200" w:line="269" w:lineRule="auto"/>
      </w:pPr>
      <w:r>
        <w:rPr>
          <w:rFonts w:ascii="Arial" w:hAnsi="Arial"/>
          <w:b/>
          <w:i w:val="0"/>
          <w:color w:val="0B1220"/>
          <w:sz w:val="19"/>
        </w:rPr>
        <w:t>Auditability is not outside the data system. The audit trail is a second data plane.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WORKFLOW / SYSTEM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6"/>
              </w:rPr>
              <w:t>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ACCOUNTABLE OWNER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6"/>
              </w:rPr>
              <w:t>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REVIEW DATE / TIME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6"/>
              </w:rPr>
              <w:t>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CONTENT PLANE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6"/>
              </w:rPr>
              <w:t>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CONTROL PLANE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6"/>
              </w:rPr>
              <w:t>________________________________________________________________________</w:t>
            </w:r>
          </w:p>
        </w:tc>
      </w:tr>
    </w:tbl>
    <w:p>
      <w:pPr>
        <w:keepNext/>
        <w:spacing w:before="160" w:after="100" w:line="269" w:lineRule="auto"/>
      </w:pPr>
      <w:r>
        <w:rPr>
          <w:rFonts w:ascii="Arial" w:hAnsi="Arial"/>
          <w:b/>
          <w:i w:val="0"/>
          <w:color w:val="0B1220"/>
          <w:sz w:val="24"/>
        </w:rPr>
        <w:t>Use This Receipt When</w:t>
      </w:r>
    </w:p>
    <w:p>
      <w:pPr>
        <w:keepNext w:val="0"/>
        <w:spacing w:before="0" w:after="60" w:line="269" w:lineRule="auto"/>
      </w:pPr>
      <w:r>
        <w:rPr>
          <w:rFonts w:ascii="Arial" w:hAnsi="Arial"/>
          <w:b/>
          <w:i w:val="0"/>
          <w:color w:val="34D1BF"/>
          <w:sz w:val="19"/>
        </w:rPr>
        <w:t xml:space="preserve">[ ]  </w:t>
      </w:r>
      <w:r>
        <w:rPr>
          <w:rFonts w:ascii="Arial" w:hAnsi="Arial"/>
          <w:b w:val="0"/>
          <w:i w:val="0"/>
          <w:color w:val="0B1220"/>
          <w:sz w:val="18"/>
        </w:rPr>
        <w:t>An AI workflow creates both user content and control evidence.</w:t>
      </w:r>
    </w:p>
    <w:p>
      <w:pPr>
        <w:keepNext w:val="0"/>
        <w:spacing w:before="0" w:after="60" w:line="269" w:lineRule="auto"/>
      </w:pPr>
      <w:r>
        <w:rPr>
          <w:rFonts w:ascii="Arial" w:hAnsi="Arial"/>
          <w:b/>
          <w:i w:val="0"/>
          <w:color w:val="34D1BF"/>
          <w:sz w:val="19"/>
        </w:rPr>
        <w:t xml:space="preserve">[ ]  </w:t>
      </w:r>
      <w:r>
        <w:rPr>
          <w:rFonts w:ascii="Arial" w:hAnsi="Arial"/>
          <w:b w:val="0"/>
          <w:i w:val="0"/>
          <w:color w:val="0B1220"/>
          <w:sz w:val="18"/>
        </w:rPr>
        <w:t>Audit events or safety signals can be exported, joined, or used in a decision.</w:t>
      </w:r>
    </w:p>
    <w:p>
      <w:pPr>
        <w:keepNext w:val="0"/>
        <w:spacing w:before="0" w:after="60" w:line="269" w:lineRule="auto"/>
      </w:pPr>
      <w:r>
        <w:rPr>
          <w:rFonts w:ascii="Arial" w:hAnsi="Arial"/>
          <w:b/>
          <w:i w:val="0"/>
          <w:color w:val="34D1BF"/>
          <w:sz w:val="19"/>
        </w:rPr>
        <w:t xml:space="preserve">[ ]  </w:t>
      </w:r>
      <w:r>
        <w:rPr>
          <w:rFonts w:ascii="Arial" w:hAnsi="Arial"/>
          <w:b w:val="0"/>
          <w:i w:val="0"/>
          <w:color w:val="0B1220"/>
          <w:sz w:val="18"/>
        </w:rPr>
        <w:t>Different teams own the application, logs, warehouse, investigation, or records lifecycle.</w:t>
      </w:r>
    </w:p>
    <w:p>
      <w:pPr>
        <w:keepNext w:val="0"/>
        <w:spacing w:before="0" w:after="60" w:line="269" w:lineRule="auto"/>
      </w:pPr>
      <w:r>
        <w:rPr>
          <w:rFonts w:ascii="Arial" w:hAnsi="Arial"/>
          <w:b/>
          <w:i w:val="0"/>
          <w:color w:val="34D1BF"/>
          <w:sz w:val="19"/>
        </w:rPr>
        <w:t xml:space="preserve">[ ]  </w:t>
      </w:r>
      <w:r>
        <w:rPr>
          <w:rFonts w:ascii="Arial" w:hAnsi="Arial"/>
          <w:b w:val="0"/>
          <w:i w:val="0"/>
          <w:color w:val="0B1220"/>
          <w:sz w:val="18"/>
        </w:rPr>
        <w:t>A regional, retention, or access statement applies to only part of the data path.</w:t>
      </w:r>
    </w:p>
    <w:p>
      <w:pPr>
        <w:keepNext/>
        <w:spacing w:before="160" w:after="100" w:line="269" w:lineRule="auto"/>
      </w:pPr>
      <w:r>
        <w:rPr>
          <w:rFonts w:ascii="Arial" w:hAnsi="Arial"/>
          <w:b/>
          <w:i w:val="0"/>
          <w:color w:val="0B1220"/>
          <w:sz w:val="24"/>
        </w:rPr>
        <w:t>Disposition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340"/>
        <w:gridCol w:w="2340"/>
        <w:gridCol w:w="2340"/>
        <w:gridCol w:w="2340"/>
      </w:tblGrid>
      <w:tr>
        <w:trPr>
          <w:tblHeader w:val="true"/>
        </w:trPr>
        <w:tc>
          <w:tcPr>
            <w:tcW w:type="dxa" w:w="234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8"/>
              </w:rPr>
              <w:t>[ ] PASS</w:t>
            </w:r>
          </w:p>
        </w:tc>
        <w:tc>
          <w:tcPr>
            <w:tcW w:type="dxa" w:w="234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8"/>
              </w:rPr>
              <w:t>[ ] HOLD</w:t>
            </w:r>
          </w:p>
        </w:tc>
        <w:tc>
          <w:tcPr>
            <w:tcW w:type="dxa" w:w="234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8"/>
              </w:rPr>
              <w:t>[ ] FIX + RETEST</w:t>
            </w:r>
          </w:p>
        </w:tc>
        <w:tc>
          <w:tcPr>
            <w:tcW w:type="dxa" w:w="234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0" w:line="269" w:lineRule="auto"/>
              <w:jc w:val="center"/>
            </w:pPr>
            <w:r>
              <w:rPr>
                <w:rFonts w:ascii="Arial" w:hAnsi="Arial"/>
                <w:b/>
                <w:i w:val="0"/>
                <w:color w:val="1E293B"/>
                <w:sz w:val="18"/>
              </w:rPr>
              <w:t>[ ] STOP</w:t>
            </w:r>
          </w:p>
        </w:tc>
      </w:tr>
    </w:tbl>
    <w:p>
      <w:pPr>
        <w:keepNext w:val="0"/>
        <w:spacing w:before="0" w:after="0" w:line="269" w:lineRule="auto"/>
      </w:pPr>
      <w:r>
        <w:rPr>
          <w:rFonts w:ascii="Arial" w:hAnsi="Arial"/>
          <w:b/>
          <w:i w:val="0"/>
          <w:color w:val="0B1220"/>
          <w:sz w:val="19"/>
        </w:rPr>
        <w:t>Use one row or linked evidence record for every answer. Missing evidence is a finding, not a green check.</w:t>
      </w:r>
    </w:p>
    <w:p>
      <w:r>
        <w:br w:type="page"/>
      </w:r>
    </w:p>
    <w:p>
      <w:pPr>
        <w:keepNext/>
        <w:spacing w:before="0" w:after="80" w:line="269" w:lineRule="auto"/>
      </w:pPr>
      <w:r>
        <w:rPr>
          <w:rFonts w:ascii="Arial" w:hAnsi="Arial"/>
          <w:b/>
          <w:i w:val="0"/>
          <w:color w:val="34D1BF"/>
          <w:sz w:val="17"/>
        </w:rPr>
        <w:t>RECEIPTS 1-2 | WHY THE DATA EXISTS AND WHAT THE AI TOUCHES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01  </w:t>
      </w:r>
      <w:r>
        <w:rPr>
          <w:rFonts w:ascii="Arial" w:hAnsi="Arial"/>
          <w:b/>
          <w:i w:val="0"/>
          <w:color w:val="0B1220"/>
          <w:sz w:val="25"/>
        </w:rPr>
        <w:t>PURPOSE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Why is each content and control field collected?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APPROVED PURPOSE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Reason for content use and reason for control evidence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PROHIBITED USES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Secondary uses that are not allowed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DECISION OWNER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Role that approves the purpose and any later change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Every available field is collected and the purpose is invented later.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No defined operating purpose means do not collect or export the field by default.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02  </w:t>
      </w:r>
      <w:r>
        <w:rPr>
          <w:rFonts w:ascii="Arial" w:hAnsi="Arial"/>
          <w:b/>
          <w:i w:val="0"/>
          <w:color w:val="0B1220"/>
          <w:sz w:val="25"/>
        </w:rPr>
        <w:t>CONTENT PLANE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What user and source material moves through the workflow?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OBJECTS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Sources, prompts, conversations, outputs, artifacts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SENSITIVITY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Data categories, owners, sharing state, system-of-record links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BOUNDARY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Approved uses, prohibited uses, users, and environments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The map stops at the prompt and misses retrieved context, uploads, or generated media.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If the content objects cannot be named, the control evidence pointing to them cannot be explained.</w:t>
      </w:r>
    </w:p>
    <w:p>
      <w:r>
        <w:br w:type="page"/>
      </w:r>
    </w:p>
    <w:p>
      <w:pPr>
        <w:keepNext/>
        <w:spacing w:before="0" w:after="80" w:line="269" w:lineRule="auto"/>
      </w:pPr>
      <w:r>
        <w:rPr>
          <w:rFonts w:ascii="Arial" w:hAnsi="Arial"/>
          <w:b/>
          <w:i w:val="0"/>
          <w:color w:val="34D1BF"/>
          <w:sz w:val="17"/>
        </w:rPr>
        <w:t>RECEIPTS 3-4 | WHAT THE CONTROL LAYER RECORDS AND WHERE BOTH PLANES LIVE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03  </w:t>
      </w:r>
      <w:r>
        <w:rPr>
          <w:rFonts w:ascii="Arial" w:hAnsi="Arial"/>
          <w:b/>
          <w:i w:val="0"/>
          <w:color w:val="0B1220"/>
          <w:sz w:val="25"/>
        </w:rPr>
        <w:t>CONTROL PLANE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What does the governance layer record about the work?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EVENTS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Event names, timestamps, actor and network fields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REFERENCES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Resource, source, URL, label, artifact, and reviewer fields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EXPORTS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Schemas, schedules, destinations, and downstream joins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Metadata is treated as harmless even when it can identify a person or reconstruct activity.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Classify control data by what it can reveal and combine, not by the word log.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04  </w:t>
      </w:r>
      <w:r>
        <w:rPr>
          <w:rFonts w:ascii="Arial" w:hAnsi="Arial"/>
          <w:b/>
          <w:i w:val="0"/>
          <w:color w:val="0B1220"/>
          <w:sz w:val="25"/>
        </w:rPr>
        <w:t>LOCATION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Where is each plane and downstream copy stored or processed?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CONTENT PATH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Service storage, processing, region, global storage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CONTROL PATH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Audit routing, investigation tools, export destination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COPIES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Warehouse, staging, reports, backups, cross-provider movement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Regional audit routing is used as proof that the underlying content follows the same path.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Prove location separately for each plane and each copy.</w:t>
      </w:r>
    </w:p>
    <w:p>
      <w:r>
        <w:br w:type="page"/>
      </w:r>
    </w:p>
    <w:p>
      <w:pPr>
        <w:keepNext/>
        <w:spacing w:before="0" w:after="80" w:line="269" w:lineRule="auto"/>
      </w:pPr>
      <w:r>
        <w:rPr>
          <w:rFonts w:ascii="Arial" w:hAnsi="Arial"/>
          <w:b/>
          <w:i w:val="0"/>
          <w:color w:val="34D1BF"/>
          <w:sz w:val="17"/>
        </w:rPr>
        <w:t>RECEIPTS 5-6 | WHO CAN USE THE EVIDENCE AND HOW LONG IT REMAINS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05  </w:t>
      </w:r>
      <w:r>
        <w:rPr>
          <w:rFonts w:ascii="Arial" w:hAnsi="Arial"/>
          <w:b/>
          <w:i w:val="0"/>
          <w:color w:val="0B1220"/>
          <w:sz w:val="25"/>
        </w:rPr>
        <w:t>ACCESS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Who can read, export, join, investigate, or act on the records?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PEOPLE + ROLES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Admins, analysts, reviewers, investigators, approvers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MACHINE ACCESS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Service accounts, connectors, vendors, scopes, expiry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REVIEW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Access owner, cadence, separation, revocation evidence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A tightly controlled AI application feeds a broadly accessible warehouse table.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No named downstream-access owner means the export stays off.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06  </w:t>
      </w:r>
      <w:r>
        <w:rPr>
          <w:rFonts w:ascii="Arial" w:hAnsi="Arial"/>
          <w:b/>
          <w:i w:val="0"/>
          <w:color w:val="0B1220"/>
          <w:sz w:val="25"/>
        </w:rPr>
        <w:t>LIFECYCLE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What happens from creation through deletion?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TIMING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Event lag, retention, expiration, deletion, holds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DERIVATIVES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Export copies, reports, caches, staging, backups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CHANGE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Schema-change alert, added-field review, cleanup owner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The source expires while an export persists, or a new field enters analytics silently.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The lifecycle must cover the original record and every derivative copy.</w:t>
      </w:r>
    </w:p>
    <w:p>
      <w:r>
        <w:br w:type="page"/>
      </w:r>
    </w:p>
    <w:p>
      <w:pPr>
        <w:keepNext/>
        <w:spacing w:before="0" w:after="80" w:line="269" w:lineRule="auto"/>
      </w:pPr>
      <w:r>
        <w:rPr>
          <w:rFonts w:ascii="Arial" w:hAnsi="Arial"/>
          <w:b/>
          <w:i w:val="0"/>
          <w:color w:val="34D1BF"/>
          <w:sz w:val="17"/>
        </w:rPr>
        <w:t>RECEIPT 7 | HOW EVIDENCE BECOMES ACTION</w:t>
      </w:r>
    </w:p>
    <w:p>
      <w:pPr>
        <w:keepNext/>
        <w:spacing w:before="100" w:after="80" w:line="269" w:lineRule="auto"/>
      </w:pPr>
      <w:r>
        <w:rPr>
          <w:rFonts w:ascii="Arial" w:hAnsi="Arial"/>
          <w:b/>
          <w:i w:val="0"/>
          <w:color w:val="34D1BF"/>
          <w:sz w:val="25"/>
        </w:rPr>
        <w:t xml:space="preserve">07  </w:t>
      </w:r>
      <w:r>
        <w:rPr>
          <w:rFonts w:ascii="Arial" w:hAnsi="Arial"/>
          <w:b/>
          <w:i w:val="0"/>
          <w:color w:val="0B1220"/>
          <w:sz w:val="25"/>
        </w:rPr>
        <w:t>CORRELATION AND ACTION</w:t>
      </w:r>
    </w:p>
    <w:p>
      <w:pPr>
        <w:keepNext/>
        <w:spacing w:before="0" w:after="100" w:line="269" w:lineRule="auto"/>
      </w:pPr>
      <w:r>
        <w:rPr>
          <w:rFonts w:ascii="Arial" w:hAnsi="Arial"/>
          <w:b/>
          <w:i w:val="0"/>
          <w:color w:val="64748B"/>
          <w:sz w:val="16"/>
        </w:rPr>
        <w:t xml:space="preserve">QUESTION  </w:t>
      </w:r>
      <w:r>
        <w:rPr>
          <w:rFonts w:ascii="Arial" w:hAnsi="Arial"/>
          <w:b/>
          <w:i w:val="0"/>
          <w:color w:val="0B1220"/>
          <w:sz w:val="19"/>
        </w:rPr>
        <w:t>How can the record reconnect to a person or source, and what decisions can follow?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CORRELATION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Join keys, source links, identity links, sequence reconstruction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DECISION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Allowed alerts, investigations, reviews, and outcomes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CORRECTION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Human review, context check, appeal/correction, closure record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 w:val="0"/>
        <w:spacing w:before="80" w:after="40" w:line="269" w:lineRule="auto"/>
      </w:pPr>
      <w:r>
        <w:rPr>
          <w:rFonts w:ascii="Arial" w:hAnsi="Arial"/>
          <w:b/>
          <w:i w:val="0"/>
          <w:color w:val="FF7A18"/>
          <w:sz w:val="16"/>
        </w:rPr>
        <w:t xml:space="preserve">FAILURE MODE  </w:t>
      </w:r>
      <w:r>
        <w:rPr>
          <w:rFonts w:ascii="Arial" w:hAnsi="Arial"/>
          <w:b w:val="0"/>
          <w:i w:val="0"/>
          <w:color w:val="1E293B"/>
          <w:sz w:val="17"/>
        </w:rPr>
        <w:t>Ambiguous metadata becomes a personnel, security, or compliance conclusion without context.</w:t>
      </w:r>
    </w:p>
    <w:p>
      <w:pPr>
        <w:keepNext w:val="0"/>
        <w:spacing w:before="0" w:after="160" w:line="269" w:lineRule="auto"/>
      </w:pPr>
      <w:r>
        <w:rPr>
          <w:rFonts w:ascii="Arial" w:hAnsi="Arial"/>
          <w:b/>
          <w:i w:val="0"/>
          <w:color w:val="34D1BF"/>
          <w:sz w:val="16"/>
        </w:rPr>
        <w:t xml:space="preserve">DECISION RULE  </w:t>
      </w:r>
      <w:r>
        <w:rPr>
          <w:rFonts w:ascii="Arial" w:hAnsi="Arial"/>
          <w:b/>
          <w:i w:val="0"/>
          <w:color w:val="0B1220"/>
          <w:sz w:val="17"/>
        </w:rPr>
        <w:t>If the signal-to-decision path and correction path cannot be explained, hold scale.</w:t>
      </w:r>
    </w:p>
    <w:p>
      <w:pPr>
        <w:keepNext/>
        <w:spacing w:before="160" w:after="100" w:line="269" w:lineRule="auto"/>
      </w:pPr>
      <w:r>
        <w:rPr>
          <w:rFonts w:ascii="Arial" w:hAnsi="Arial"/>
          <w:b/>
          <w:i w:val="0"/>
          <w:color w:val="0B1220"/>
          <w:sz w:val="24"/>
        </w:rPr>
        <w:t>Harmless Event Test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</w:tblPr>
      <w:tblGrid>
        <w:gridCol w:w="2260"/>
        <w:gridCol w:w="7100"/>
      </w:tblGrid>
      <w:tr>
        <w:trPr>
          <w:tblHeader w:val="true"/>
        </w:trP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TEST EVENT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Synthetic action, expected event, and expected fields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OBSERVED RESULT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Record appeared, timing, destination, access, and alert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  <w:tr>
        <w:tc>
          <w:tcPr>
            <w:tcW w:type="dxa" w:w="2260"/>
            <w:tcMar>
              <w:top w:w="110" w:type="dxa"/>
              <w:start w:w="140" w:type="dxa"/>
              <w:bottom w:w="110" w:type="dxa"/>
              <w:end w:w="140" w:type="dxa"/>
            </w:tcMar>
            <w:vAlign w:val="center"/>
            <w:shd w:fill="1E293B"/>
          </w:tcPr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DECISION</w:t>
            </w:r>
          </w:p>
        </w:tc>
        <w:tc>
          <w:tcPr>
            <w:tcW w:type="dxa" w:w="7100"/>
            <w:tcMar>
              <w:top w:w="110" w:type="dxa"/>
              <w:start w:w="140" w:type="dxa"/>
              <w:bottom w:w="110" w:type="dxa"/>
              <w:end w:w="140" w:type="dxa"/>
            </w:tcMar>
            <w:shd w:fill="F8FAFC"/>
          </w:tcPr>
          <w:p>
            <w:pPr>
              <w:keepNext w:val="0"/>
              <w:spacing w:before="0" w:after="20" w:line="269" w:lineRule="auto"/>
            </w:pPr>
            <w:r>
              <w:rPr>
                <w:rFonts w:ascii="Arial" w:hAnsi="Arial"/>
                <w:b w:val="0"/>
                <w:i w:val="0"/>
                <w:color w:val="64748B"/>
                <w:sz w:val="17"/>
              </w:rPr>
              <w:t>Pass, hold, fix and retest, or stop; owner and due date</w:t>
            </w:r>
          </w:p>
          <w:p>
            <w:pPr>
              <w:keepNext w:val="0"/>
              <w:spacing w:before="0" w:after="0" w:line="269" w:lineRule="auto"/>
            </w:pPr>
            <w:r>
              <w:rPr>
                <w:rFonts w:ascii="Arial" w:hAnsi="Arial"/>
                <w:b w:val="0"/>
                <w:i w:val="0"/>
                <w:color w:val="E2E8F0"/>
                <w:sz w:val="15"/>
              </w:rPr>
              <w:t>________________________________________________________________________________</w:t>
            </w:r>
          </w:p>
        </w:tc>
      </w:tr>
    </w:tbl>
    <w:p>
      <w:pPr>
        <w:keepNext/>
        <w:spacing w:before="160" w:after="100" w:line="269" w:lineRule="auto"/>
      </w:pPr>
      <w:r>
        <w:rPr>
          <w:rFonts w:ascii="Arial" w:hAnsi="Arial"/>
          <w:b/>
          <w:i w:val="0"/>
          <w:color w:val="0B1220"/>
          <w:sz w:val="24"/>
        </w:rPr>
        <w:t>One-Month Scorecard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Separate content-plane and control-plane maps exist.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Collected log fields are tied to approved purposes.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Exports have owners, access reviews, and retention rules.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Downstream copies are included in deletion and hold procedures.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Schema changes are reviewed before new fields reach analytics.</w:t>
      </w:r>
    </w:p>
    <w:p>
      <w:pPr>
        <w:keepNext w:val="0"/>
        <w:spacing w:before="0" w:after="40" w:line="269" w:lineRule="auto"/>
      </w:pPr>
      <w:r>
        <w:rPr>
          <w:rFonts w:ascii="Arial" w:hAnsi="Arial"/>
          <w:b w:val="0"/>
          <w:i w:val="0"/>
          <w:color w:val="0B1220"/>
          <w:sz w:val="19"/>
        </w:rPr>
        <w:t>[ ] Decision uses include human review and a correction path.</w:t>
      </w:r>
    </w:p>
    <w:p>
      <w:pPr>
        <w:keepNext w:val="0"/>
        <w:spacing w:before="0" w:after="0" w:line="269" w:lineRule="auto"/>
      </w:pPr>
      <w:r>
        <w:rPr>
          <w:rFonts w:ascii="Arial" w:hAnsi="Arial"/>
          <w:b/>
          <w:i w:val="0"/>
          <w:color w:val="1E293B"/>
          <w:sz w:val="19"/>
        </w:rPr>
        <w:t>Closing rule: Do not govern the content and ignore the receipt. Govern both data planes.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440" w:bottom="1008" w:left="1440" w:header="461" w:footer="46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keepNext w:val="0"/>
      <w:spacing w:before="0" w:after="0" w:line="269" w:lineRule="auto"/>
      <w:jc w:val="right"/>
    </w:pPr>
    <w:r>
      <w:rPr>
        <w:rFonts w:ascii="Arial" w:hAnsi="Arial"/>
        <w:b w:val="0"/>
        <w:i w:val="0"/>
        <w:color w:val="64748B"/>
        <w:sz w:val="16"/>
      </w:rPr>
      <w:t>Two-Plane Privacy Receipt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keepNext w:val="0"/>
      <w:spacing w:before="0" w:after="0" w:line="269" w:lineRule="auto"/>
    </w:pPr>
    <w:r>
      <w:rPr>
        <w:rFonts w:ascii="Arial" w:hAnsi="Arial"/>
        <w:b/>
        <w:i w:val="0"/>
        <w:color w:val="64748B"/>
        <w:sz w:val="16"/>
      </w:rPr>
      <w:t>AI CHANGE DESK  |  EP044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B1220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