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before="0" w:after="100" w:line="276" w:lineRule="auto"/>
      </w:pPr>
      <w:r>
        <w:rPr>
          <w:rFonts w:ascii="Arial" w:hAnsi="Arial"/>
          <w:b/>
          <w:i w:val="0"/>
          <w:color w:val="34D1BF"/>
          <w:sz w:val="18"/>
        </w:rPr>
        <w:t>AI CHANGE DESK | OPERATOR FIELD WORKSHEET</w:t>
      </w:r>
    </w:p>
    <w:p>
      <w:pPr>
        <w:keepNext/>
        <w:spacing w:before="0" w:after="140" w:line="276" w:lineRule="auto"/>
        <w:pBdr>
          <w:bottom w:val="single" w:sz="18" w:space="4" w:color="34D1BF"/>
        </w:pBdr>
      </w:pPr>
      <w:r>
        <w:rPr>
          <w:rFonts w:ascii="Arial" w:hAnsi="Arial"/>
          <w:b/>
          <w:i w:val="0"/>
          <w:color w:val="0B1220"/>
          <w:sz w:val="54"/>
        </w:rPr>
        <w:t>Runtime Safeguard</w:t>
        <w:br/>
        <w:t>Coverage Receipt</w:t>
      </w:r>
    </w:p>
    <w:p>
      <w:pPr>
        <w:keepNext w:val="0"/>
        <w:spacing w:before="0" w:after="240" w:line="276" w:lineRule="auto"/>
      </w:pPr>
      <w:r>
        <w:rPr>
          <w:rFonts w:ascii="Arial" w:hAnsi="Arial"/>
          <w:b/>
          <w:i w:val="0"/>
          <w:color w:val="0B1220"/>
          <w:sz w:val="21"/>
        </w:rPr>
        <w:t>A documented safeguard is not a runtime control until the organization can prove it covered the risky run.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WORKFLOW / RUN ID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8"/>
              </w:rPr>
              <w:t>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ACCOUNTABLE OWNER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8"/>
              </w:rPr>
              <w:t>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REVIEW DATE / TIME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8"/>
              </w:rPr>
              <w:t>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ENVIRONMENT / PARTNER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8"/>
              </w:rPr>
              <w:t>________________________________________________________________________</w:t>
            </w:r>
          </w:p>
        </w:tc>
      </w:tr>
    </w:tbl>
    <w:p>
      <w:pPr>
        <w:keepNext/>
        <w:spacing w:before="140" w:after="120" w:line="276" w:lineRule="auto"/>
      </w:pPr>
      <w:r>
        <w:rPr>
          <w:rFonts w:ascii="Arial" w:hAnsi="Arial"/>
          <w:b/>
          <w:i w:val="0"/>
          <w:color w:val="1E293B"/>
          <w:sz w:val="25"/>
        </w:rPr>
        <w:t>Disposition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PASS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HOLD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FIX + RETEST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STOP</w:t>
            </w:r>
          </w:p>
        </w:tc>
      </w:tr>
    </w:tbl>
    <w:p>
      <w:pPr>
        <w:keepNext/>
        <w:spacing w:before="140" w:after="120" w:line="276" w:lineRule="auto"/>
      </w:pPr>
      <w:r>
        <w:rPr>
          <w:rFonts w:ascii="Arial" w:hAnsi="Arial"/>
          <w:b/>
          <w:i w:val="0"/>
          <w:color w:val="1E293B"/>
          <w:sz w:val="25"/>
        </w:rPr>
        <w:t>Use This Receipt When</w:t>
      </w:r>
    </w:p>
    <w:p>
      <w:pPr>
        <w:keepNext w:val="0"/>
        <w:spacing w:before="0" w:after="60" w:line="276" w:lineRule="auto"/>
      </w:pPr>
      <w:r>
        <w:rPr>
          <w:rFonts w:ascii="Arial" w:hAnsi="Arial"/>
          <w:b/>
          <w:i w:val="0"/>
          <w:color w:val="34D1BF"/>
          <w:sz w:val="20"/>
        </w:rPr>
        <w:t xml:space="preserve">[ ]  </w:t>
      </w:r>
      <w:r>
        <w:rPr>
          <w:rFonts w:ascii="Arial" w:hAnsi="Arial"/>
          <w:b w:val="0"/>
          <w:i w:val="0"/>
          <w:color w:val="0B1220"/>
          <w:sz w:val="19"/>
        </w:rPr>
        <w:t>An AI workflow can call tools, reach external services, use credentials, or touch sensitive data.</w:t>
      </w:r>
    </w:p>
    <w:p>
      <w:pPr>
        <w:keepNext w:val="0"/>
        <w:spacing w:before="0" w:after="60" w:line="276" w:lineRule="auto"/>
      </w:pPr>
      <w:r>
        <w:rPr>
          <w:rFonts w:ascii="Arial" w:hAnsi="Arial"/>
          <w:b/>
          <w:i w:val="0"/>
          <w:color w:val="34D1BF"/>
          <w:sz w:val="20"/>
        </w:rPr>
        <w:t xml:space="preserve">[ ]  </w:t>
      </w:r>
      <w:r>
        <w:rPr>
          <w:rFonts w:ascii="Arial" w:hAnsi="Arial"/>
          <w:b w:val="0"/>
          <w:i w:val="0"/>
          <w:color w:val="0B1220"/>
          <w:sz w:val="19"/>
        </w:rPr>
        <w:t>A run uses an evaluation, preview, exception, or reduced-safeguard mode.</w:t>
      </w:r>
    </w:p>
    <w:p>
      <w:pPr>
        <w:keepNext w:val="0"/>
        <w:spacing w:before="0" w:after="60" w:line="276" w:lineRule="auto"/>
      </w:pPr>
      <w:r>
        <w:rPr>
          <w:rFonts w:ascii="Arial" w:hAnsi="Arial"/>
          <w:b/>
          <w:i w:val="0"/>
          <w:color w:val="34D1BF"/>
          <w:sz w:val="20"/>
        </w:rPr>
        <w:t xml:space="preserve">[ ]  </w:t>
      </w:r>
      <w:r>
        <w:rPr>
          <w:rFonts w:ascii="Arial" w:hAnsi="Arial"/>
          <w:b w:val="0"/>
          <w:i w:val="0"/>
          <w:color w:val="0B1220"/>
          <w:sz w:val="19"/>
        </w:rPr>
        <w:t>A third party controls part of the harness, sandbox, network boundary, monitoring, or evidence.</w:t>
      </w:r>
    </w:p>
    <w:p>
      <w:pPr>
        <w:keepNext w:val="0"/>
        <w:spacing w:before="0" w:after="60" w:line="276" w:lineRule="auto"/>
      </w:pPr>
      <w:r>
        <w:rPr>
          <w:rFonts w:ascii="Arial" w:hAnsi="Arial"/>
          <w:b/>
          <w:i w:val="0"/>
          <w:color w:val="34D1BF"/>
          <w:sz w:val="20"/>
        </w:rPr>
        <w:t xml:space="preserve">[ ]  </w:t>
      </w:r>
      <w:r>
        <w:rPr>
          <w:rFonts w:ascii="Arial" w:hAnsi="Arial"/>
          <w:b w:val="0"/>
          <w:i w:val="0"/>
          <w:color w:val="0B1220"/>
          <w:sz w:val="19"/>
        </w:rPr>
        <w:t>A remediation is being used to justify scale or resumption.</w:t>
      </w:r>
    </w:p>
    <w:p>
      <w:pPr>
        <w:keepNext/>
        <w:spacing w:before="140" w:after="120" w:line="276" w:lineRule="auto"/>
      </w:pPr>
      <w:r>
        <w:rPr>
          <w:rFonts w:ascii="Arial" w:hAnsi="Arial"/>
          <w:b/>
          <w:i w:val="0"/>
          <w:color w:val="1E293B"/>
          <w:sz w:val="25"/>
        </w:rPr>
        <w:t>Evidence Standard</w:t>
      </w:r>
    </w:p>
    <w:p>
      <w:pPr>
        <w:keepNext w:val="0"/>
        <w:spacing w:before="0" w:after="80" w:line="276" w:lineRule="auto"/>
      </w:pPr>
      <w:r>
        <w:rPr>
          <w:rFonts w:ascii="Arial" w:hAnsi="Arial"/>
          <w:b w:val="0"/>
          <w:i w:val="0"/>
          <w:color w:val="0B1220"/>
          <w:sz w:val="21"/>
        </w:rPr>
        <w:t>Bind every answer to the exact run. A policy, feature page, configuration screenshot, API acceptance, or retrospective log search may support the record. None proves runtime coverage by itself.</w:t>
      </w:r>
    </w:p>
    <w:p>
      <w:pPr>
        <w:keepNext w:val="0"/>
        <w:spacing w:before="0" w:after="120" w:line="276" w:lineRule="auto"/>
      </w:pPr>
      <w:r>
        <w:rPr>
          <w:rFonts w:ascii="Arial" w:hAnsi="Arial"/>
          <w:b/>
          <w:i w:val="0"/>
          <w:color w:val="0B1220"/>
          <w:sz w:val="21"/>
        </w:rPr>
        <w:t>Record uncertainty. Missing evidence is a finding, not an invitation to make the status page cleaner.</w:t>
      </w:r>
    </w:p>
    <w:p>
      <w:r>
        <w:br w:type="page"/>
      </w:r>
    </w:p>
    <w:p>
      <w:pPr>
        <w:keepNext/>
        <w:spacing w:before="0" w:after="100" w:line="276" w:lineRule="auto"/>
      </w:pPr>
      <w:r>
        <w:rPr>
          <w:rFonts w:ascii="Arial" w:hAnsi="Arial"/>
          <w:b/>
          <w:i w:val="0"/>
          <w:color w:val="34D1BF"/>
          <w:sz w:val="18"/>
        </w:rPr>
        <w:t>RECEIPTS 1-2 | WHAT RAN AND WHAT PROTECTED IT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01  </w:t>
      </w:r>
      <w:r>
        <w:rPr>
          <w:rFonts w:ascii="Arial" w:hAnsi="Arial"/>
          <w:b/>
          <w:i w:val="0"/>
          <w:color w:val="0B1220"/>
          <w:sz w:val="26"/>
        </w:rPr>
        <w:t>RUN SCOPE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Which execution are we approving?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RUN IDENTITY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Run ID, model/version, published workflow or agent version, start/end time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TASK + OWNER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Exact objective, accountable outcome owner, operator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BOUNDARY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Environment, region, partner, tools, data, credentials, intended limits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EVIDENCE LINKS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Logs, configuration, approvals, tickets, test record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The record says 'test environment' or 'the agent' but cannot identify the execution later.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If the run cannot be named precisely, its controls cannot be proven precisely. Hold scale.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02  </w:t>
      </w:r>
      <w:r>
        <w:rPr>
          <w:rFonts w:ascii="Arial" w:hAnsi="Arial"/>
          <w:b/>
          <w:i w:val="0"/>
          <w:color w:val="0B1220"/>
          <w:sz w:val="26"/>
        </w:rPr>
        <w:t>SAFEGUARD STATE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Which safeguards were actually active?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EXPECTED CONTROLS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Classifiers, refusals, monitors, tool restrictions, approvals, rate/spend limits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EFFECTIVE STATE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Enabled state, version, rule set, coverage window, event stream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EXCEPTIONS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Reduced-control mode, temporary change, exemption, approver, expiry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EVIDENCE LINKS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Machine-readable config, change record, runtime binding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The team proves monitoring exists but cannot prove that it covered this run.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Treat every reduced-safeguard, preview, evaluation, or exception mode as a separate system.</w:t>
      </w:r>
    </w:p>
    <w:p>
      <w:r>
        <w:br w:type="page"/>
      </w:r>
    </w:p>
    <w:p>
      <w:pPr>
        <w:keepNext/>
        <w:spacing w:before="0" w:after="100" w:line="276" w:lineRule="auto"/>
      </w:pPr>
      <w:r>
        <w:rPr>
          <w:rFonts w:ascii="Arial" w:hAnsi="Arial"/>
          <w:b/>
          <w:i w:val="0"/>
          <w:color w:val="34D1BF"/>
          <w:sz w:val="18"/>
        </w:rPr>
        <w:t>RECEIPTS 3-4 | WHAT BOUNDARY EXISTED AND WHAT COULD INTERVENE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03  </w:t>
      </w:r>
      <w:r>
        <w:rPr>
          <w:rFonts w:ascii="Arial" w:hAnsi="Arial"/>
          <w:b/>
          <w:i w:val="0"/>
          <w:color w:val="0B1220"/>
          <w:sz w:val="26"/>
        </w:rPr>
        <w:t>ENVIRONMENT STATE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What boundary existed immediately before and during execution?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NETWORK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Egress state, reachable destinations, allowlists, external services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AUTHORITY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Credentials, scopes, service identities, expiry, inherited access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RUNTIME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Tools, sandbox/harness version, configuration hash, region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PRE-RUN CHECK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Verification method, result, timestamp, verifier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An old test, contract sentence, or current settings page is used as proof for a different runtime.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If environment state cannot be reconciled to the run timestamp, the boundary is unverified.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04  </w:t>
      </w:r>
      <w:r>
        <w:rPr>
          <w:rFonts w:ascii="Arial" w:hAnsi="Arial"/>
          <w:b/>
          <w:i w:val="0"/>
          <w:color w:val="0B1220"/>
          <w:sz w:val="26"/>
        </w:rPr>
        <w:t>ENFORCEMENT AND ALERT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What could interrupt the work, and who received the signal?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SYNTHETIC EVENT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Harmless trigger used; expected control and result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ENFORCEMENT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Observed, blocked, stopped, isolated, or revoked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RESPONSE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Named recipient, delivery time, acknowledgment time, authority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EVIDENCE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Alert, log, action record, preserved state after intervention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The event appears in a log later, but nobody can show it could be interrupted while running.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Label observation as observation. Do not relabel it prevention.</w:t>
      </w:r>
    </w:p>
    <w:p>
      <w:r>
        <w:br w:type="page"/>
      </w:r>
    </w:p>
    <w:p>
      <w:pPr>
        <w:keepNext/>
        <w:spacing w:before="0" w:after="100" w:line="276" w:lineRule="auto"/>
      </w:pPr>
      <w:r>
        <w:rPr>
          <w:rFonts w:ascii="Arial" w:hAnsi="Arial"/>
          <w:b/>
          <w:i w:val="0"/>
          <w:color w:val="34D1BF"/>
          <w:sz w:val="18"/>
        </w:rPr>
        <w:t>RECEIPTS 5-6 | WHO OWNS THE HANDOFF AND WHAT HAPPENED NEXT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05  </w:t>
      </w:r>
      <w:r>
        <w:rPr>
          <w:rFonts w:ascii="Arial" w:hAnsi="Arial"/>
          <w:b/>
          <w:i w:val="0"/>
          <w:color w:val="0B1220"/>
          <w:sz w:val="26"/>
        </w:rPr>
        <w:t>PARTNER HANDOFF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Who owns each control across organizational boundaries?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CONFIGURE + VERIFY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Accountable roles, change authority, verification method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MONITOR + REPORT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Event owner, reporting trigger, timing, evidence format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PAUSE + RESUME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Stop authority, escalation route, resumption approver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RECONCILE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Internal owner who matches partner evidence to run IDs and timestamps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Every party owns a piece, but nobody owns reconciliation.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If responsibility crosses the boundary, the receipt must cross it too.</w:t>
      </w:r>
    </w:p>
    <w:p>
      <w:pPr>
        <w:keepNext/>
        <w:spacing w:before="100" w:after="100" w:line="276" w:lineRule="auto"/>
      </w:pPr>
      <w:r>
        <w:rPr>
          <w:rFonts w:ascii="Arial" w:hAnsi="Arial"/>
          <w:b/>
          <w:i w:val="0"/>
          <w:color w:val="34D1BF"/>
          <w:sz w:val="26"/>
        </w:rPr>
        <w:t xml:space="preserve">06  </w:t>
      </w:r>
      <w:r>
        <w:rPr>
          <w:rFonts w:ascii="Arial" w:hAnsi="Arial"/>
          <w:b/>
          <w:i w:val="0"/>
          <w:color w:val="0B1220"/>
          <w:sz w:val="26"/>
        </w:rPr>
        <w:t>OUTCOME AND DISPOSITION</w:t>
      </w:r>
    </w:p>
    <w:p>
      <w:pPr>
        <w:keepNext/>
        <w:spacing w:before="0" w:after="120" w:line="276" w:lineRule="auto"/>
      </w:pPr>
      <w:r>
        <w:rPr>
          <w:rFonts w:ascii="Arial" w:hAnsi="Arial"/>
          <w:b/>
          <w:i w:val="0"/>
          <w:color w:val="64748B"/>
          <w:sz w:val="17"/>
        </w:rPr>
        <w:t xml:space="preserve">QUESTION  </w:t>
      </w:r>
      <w:r>
        <w:rPr>
          <w:rFonts w:ascii="Arial" w:hAnsi="Arial"/>
          <w:b/>
          <w:i w:val="0"/>
          <w:color w:val="0B1220"/>
          <w:sz w:val="21"/>
        </w:rPr>
        <w:t>What happened, what remains uncertain, and what decision followed?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OBSERVED OUTCOME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Actions, downstream effect, affected systems or people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CONTAINMENT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Stop, isolate, revoke, preserve, notify, restore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REVIEW LIMITS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Evidence retained, independent-review scope, unresolved questions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DISPOSITION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Pass, hold, fix and retest, or stop; owner; re-enable criteria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100" w:after="40" w:line="276" w:lineRule="auto"/>
      </w:pPr>
      <w:r>
        <w:rPr>
          <w:rFonts w:ascii="Arial" w:hAnsi="Arial"/>
          <w:b/>
          <w:i w:val="0"/>
          <w:color w:val="FF7A18"/>
          <w:sz w:val="17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9"/>
        </w:rPr>
        <w:t>A remediation list is treated as closure before the changed control is tested in the real environment.</w:t>
      </w:r>
    </w:p>
    <w:p>
      <w:pPr>
        <w:keepNext w:val="0"/>
        <w:spacing w:before="0" w:after="200" w:line="276" w:lineRule="auto"/>
      </w:pPr>
      <w:r>
        <w:rPr>
          <w:rFonts w:ascii="Arial" w:hAnsi="Arial"/>
          <w:b/>
          <w:i w:val="0"/>
          <w:color w:val="34D1BF"/>
          <w:sz w:val="17"/>
        </w:rPr>
        <w:t xml:space="preserve">DECISION RULE  </w:t>
      </w:r>
      <w:r>
        <w:rPr>
          <w:rFonts w:ascii="Arial" w:hAnsi="Arial"/>
          <w:b/>
          <w:i w:val="0"/>
          <w:color w:val="0B1220"/>
          <w:sz w:val="19"/>
        </w:rPr>
        <w:t>'The run ended' is not a disposition. Test the revised control before resumption.</w:t>
      </w:r>
    </w:p>
    <w:p>
      <w:r>
        <w:br w:type="page"/>
      </w:r>
    </w:p>
    <w:p>
      <w:pPr>
        <w:keepNext/>
        <w:spacing w:before="0" w:after="100" w:line="276" w:lineRule="auto"/>
      </w:pPr>
      <w:r>
        <w:rPr>
          <w:rFonts w:ascii="Arial" w:hAnsi="Arial"/>
          <w:b/>
          <w:i w:val="0"/>
          <w:color w:val="34D1BF"/>
          <w:sz w:val="18"/>
        </w:rPr>
        <w:t>45-MINUTE RUNTIME COVERAGE TEST</w:t>
      </w:r>
    </w:p>
    <w:p>
      <w:pPr>
        <w:keepNext/>
        <w:spacing w:before="200" w:after="120" w:line="276" w:lineRule="auto"/>
      </w:pPr>
      <w:r>
        <w:rPr>
          <w:rFonts w:ascii="Arial" w:hAnsi="Arial"/>
          <w:b/>
          <w:i w:val="0"/>
          <w:color w:val="0B1220"/>
          <w:sz w:val="32"/>
        </w:rPr>
        <w:t>One Workflow. One Safe Test. One Explicit Decision.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200"/>
        <w:gridCol w:w="2500"/>
        <w:gridCol w:w="5660"/>
      </w:tblGrid>
      <w:tr>
        <w:trPr>
          <w:tblHeader/>
        </w:trPr>
        <w:tc>
          <w:tcPr>
            <w:tcW w:type="dxa" w:w="1200"/>
            <w:tcMar>
              <w:top w:w="120" w:type="dxa"/>
              <w:start w:w="150" w:type="dxa"/>
              <w:bottom w:w="120" w:type="dxa"/>
              <w:end w:w="150" w:type="dxa"/>
            </w:tcMar>
            <w:shd w:fill="34D1BF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0B1220"/>
                <w:sz w:val="18"/>
              </w:rPr>
              <w:t>00-10</w:t>
            </w:r>
          </w:p>
        </w:tc>
        <w:tc>
          <w:tcPr>
            <w:tcW w:type="dxa" w:w="250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NAME THE RUN</w:t>
            </w:r>
          </w:p>
        </w:tc>
        <w:tc>
          <w:tcPr>
            <w:tcW w:type="dxa" w:w="566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0B1220"/>
                <w:sz w:val="18"/>
              </w:rPr>
              <w:t>Model, workflow version, task, owner, environment, tools, data, credentials, partner, intended boundary.</w:t>
            </w:r>
          </w:p>
        </w:tc>
      </w:tr>
      <w:tr>
        <w:tc>
          <w:tcPr>
            <w:tcW w:type="dxa" w:w="1200"/>
            <w:tcMar>
              <w:top w:w="120" w:type="dxa"/>
              <w:start w:w="150" w:type="dxa"/>
              <w:bottom w:w="120" w:type="dxa"/>
              <w:end w:w="150" w:type="dxa"/>
            </w:tcMar>
            <w:shd w:fill="34D1BF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0B1220"/>
                <w:sz w:val="18"/>
              </w:rPr>
              <w:t>10-20</w:t>
            </w:r>
          </w:p>
        </w:tc>
        <w:tc>
          <w:tcPr>
            <w:tcW w:type="dxa" w:w="250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CAPTURE EFFECTIVE SAFEGUARDS</w:t>
            </w:r>
          </w:p>
        </w:tc>
        <w:tc>
          <w:tcPr>
            <w:tcW w:type="dxa" w:w="566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0B1220"/>
                <w:sz w:val="18"/>
              </w:rPr>
              <w:t>Open the real configuration. Record monitors, approvals, classifiers, restrictions, network rules, limits, exemptions, and reduced-control modes.</w:t>
            </w:r>
          </w:p>
        </w:tc>
      </w:tr>
      <w:tr>
        <w:tc>
          <w:tcPr>
            <w:tcW w:type="dxa" w:w="1200"/>
            <w:tcMar>
              <w:top w:w="120" w:type="dxa"/>
              <w:start w:w="150" w:type="dxa"/>
              <w:bottom w:w="120" w:type="dxa"/>
              <w:end w:w="150" w:type="dxa"/>
            </w:tcMar>
            <w:shd w:fill="34D1BF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0B1220"/>
                <w:sz w:val="18"/>
              </w:rPr>
              <w:t>20-30</w:t>
            </w:r>
          </w:p>
        </w:tc>
        <w:tc>
          <w:tcPr>
            <w:tcW w:type="dxa" w:w="250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TEST THE BOUNDARY SAFELY</w:t>
            </w:r>
          </w:p>
        </w:tc>
        <w:tc>
          <w:tcPr>
            <w:tcW w:type="dxa" w:w="566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0B1220"/>
                <w:sz w:val="18"/>
              </w:rPr>
              <w:t>Use a harmless synthetic event. Do not expose sensitive data or create a real external effect.</w:t>
            </w:r>
          </w:p>
        </w:tc>
      </w:tr>
      <w:tr>
        <w:tc>
          <w:tcPr>
            <w:tcW w:type="dxa" w:w="1200"/>
            <w:tcMar>
              <w:top w:w="120" w:type="dxa"/>
              <w:start w:w="150" w:type="dxa"/>
              <w:bottom w:w="120" w:type="dxa"/>
              <w:end w:w="150" w:type="dxa"/>
            </w:tcMar>
            <w:shd w:fill="34D1BF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0B1220"/>
                <w:sz w:val="18"/>
              </w:rPr>
              <w:t>30-40</w:t>
            </w:r>
          </w:p>
        </w:tc>
        <w:tc>
          <w:tcPr>
            <w:tcW w:type="dxa" w:w="250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PROVE ENFORCEMENT + RESPONSE</w:t>
            </w:r>
          </w:p>
        </w:tc>
        <w:tc>
          <w:tcPr>
            <w:tcW w:type="dxa" w:w="566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0B1220"/>
                <w:sz w:val="18"/>
              </w:rPr>
              <w:t>Record observation, block/stop action, alert delivery, named responder, acknowledgment time, and stop/revoke authority.</w:t>
            </w:r>
          </w:p>
        </w:tc>
      </w:tr>
      <w:tr>
        <w:tc>
          <w:tcPr>
            <w:tcW w:type="dxa" w:w="1200"/>
            <w:tcMar>
              <w:top w:w="120" w:type="dxa"/>
              <w:start w:w="150" w:type="dxa"/>
              <w:bottom w:w="120" w:type="dxa"/>
              <w:end w:w="150" w:type="dxa"/>
            </w:tcMar>
            <w:shd w:fill="34D1BF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0B1220"/>
                <w:sz w:val="18"/>
              </w:rPr>
              <w:t>40-45</w:t>
            </w:r>
          </w:p>
        </w:tc>
        <w:tc>
          <w:tcPr>
            <w:tcW w:type="dxa" w:w="250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RECORD DISPOSITION</w:t>
            </w:r>
          </w:p>
        </w:tc>
        <w:tc>
          <w:tcPr>
            <w:tcW w:type="dxa" w:w="566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0B1220"/>
                <w:sz w:val="18"/>
              </w:rPr>
              <w:t>Choose pass, hold, fix and retest, or stop. Name the owner and evidence required before scale or resumption.</w:t>
            </w:r>
          </w:p>
        </w:tc>
      </w:tr>
    </w:tbl>
    <w:p>
      <w:pPr>
        <w:keepNext/>
        <w:spacing w:before="140" w:after="120" w:line="276" w:lineRule="auto"/>
      </w:pPr>
      <w:r>
        <w:rPr>
          <w:rFonts w:ascii="Arial" w:hAnsi="Arial"/>
          <w:b/>
          <w:i w:val="0"/>
          <w:color w:val="1E293B"/>
          <w:sz w:val="25"/>
        </w:rPr>
        <w:t>Test Record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SYNTHETIC EVENT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What harmless signal did we send?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EXPECTED BEHAVIOR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What should observe, block, stop, isolate, revoke, or alert?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ACTUAL BEHAVIOR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What happened? Include timestamps and evidence links.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RESPONDER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Who received it, when, and what authority did they exercise?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1E293B"/>
          </w:tcPr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FINDING</w:t>
            </w:r>
          </w:p>
        </w:tc>
        <w:tc>
          <w:tcPr>
            <w:tcW w:type="dxa" w:w="702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</w:tcPr>
          <w:p>
            <w:pPr>
              <w:keepNext w:val="0"/>
              <w:spacing w:before="0" w:after="40" w:line="276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8"/>
              </w:rPr>
              <w:t>What must change before scale or resumption?</w:t>
            </w:r>
          </w:p>
          <w:p>
            <w:pPr>
              <w:keepNext w:val="0"/>
              <w:spacing w:before="0" w:after="0" w:line="276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7"/>
              </w:rPr>
              <w:t>________________________________________________________________________________</w:t>
            </w:r>
          </w:p>
        </w:tc>
      </w:tr>
    </w:tbl>
    <w:p>
      <w:pPr>
        <w:keepNext/>
        <w:spacing w:before="140" w:after="120" w:line="276" w:lineRule="auto"/>
      </w:pPr>
      <w:r>
        <w:rPr>
          <w:rFonts w:ascii="Arial" w:hAnsi="Arial"/>
          <w:b/>
          <w:i w:val="0"/>
          <w:color w:val="1E293B"/>
          <w:sz w:val="25"/>
        </w:rPr>
        <w:t>Final Decision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PASS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HOLD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FIX + RETEST</w:t>
            </w:r>
          </w:p>
        </w:tc>
        <w:tc>
          <w:tcPr>
            <w:tcW w:type="dxa" w:w="2340"/>
            <w:tcMar>
              <w:top w:w="120" w:type="dxa"/>
              <w:start w:w="150" w:type="dxa"/>
              <w:bottom w:w="120" w:type="dxa"/>
              <w:end w:w="150" w:type="dxa"/>
            </w:tcMar>
            <w:shd w:fill="F8FAFC"/>
            <w:vAlign w:val="center"/>
          </w:tcPr>
          <w:p>
            <w:pPr>
              <w:keepNext w:val="0"/>
              <w:spacing w:before="0" w:after="0" w:line="276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9"/>
              </w:rPr>
              <w:t>[ ] STOP</w:t>
            </w:r>
          </w:p>
        </w:tc>
      </w:tr>
    </w:tbl>
    <w:p>
      <w:pPr>
        <w:keepNext w:val="0"/>
        <w:spacing w:before="0" w:after="60" w:line="276" w:lineRule="auto"/>
      </w:pPr>
      <w:r>
        <w:rPr>
          <w:rFonts w:ascii="Arial" w:hAnsi="Arial"/>
          <w:b w:val="0"/>
          <w:i w:val="0"/>
          <w:color w:val="0B1220"/>
          <w:sz w:val="21"/>
        </w:rPr>
        <w:t>Decision owner: ____________________________________    Date: ____________________</w:t>
      </w:r>
    </w:p>
    <w:p>
      <w:pPr>
        <w:keepNext w:val="0"/>
        <w:spacing w:before="0" w:after="120" w:line="276" w:lineRule="auto"/>
      </w:pPr>
      <w:r>
        <w:rPr>
          <w:rFonts w:ascii="Arial" w:hAnsi="Arial"/>
          <w:b w:val="0"/>
          <w:i w:val="0"/>
          <w:color w:val="0B1220"/>
          <w:sz w:val="21"/>
        </w:rPr>
        <w:t>Evidence required before scale or resumption:</w:t>
      </w:r>
    </w:p>
    <w:p>
      <w:pPr>
        <w:keepNext w:val="0"/>
        <w:spacing w:before="0" w:after="40" w:line="276" w:lineRule="auto"/>
      </w:pPr>
      <w:r>
        <w:rPr>
          <w:rFonts w:ascii="Arial" w:hAnsi="Arial"/>
          <w:b w:val="0"/>
          <w:i w:val="0"/>
          <w:color w:val="E2E8F0"/>
          <w:sz w:val="21"/>
        </w:rPr>
        <w:t>________________________________________________________________________________________</w:t>
      </w:r>
    </w:p>
    <w:p>
      <w:pPr>
        <w:keepNext w:val="0"/>
        <w:spacing w:before="0" w:after="0" w:line="276" w:lineRule="auto"/>
        <w:pBdr>
          <w:bottom w:val="single" w:sz="12" w:space="4" w:color="34D1BF"/>
        </w:pBdr>
      </w:pPr>
      <w:r>
        <w:rPr>
          <w:rFonts w:ascii="Arial" w:hAnsi="Arial"/>
          <w:b/>
          <w:i w:val="0"/>
          <w:color w:val="0B1220"/>
          <w:sz w:val="21"/>
        </w:rPr>
        <w:t>Do not approve the control catalog. Approve the control coverage.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440" w:bottom="1037" w:left="1440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keepNext w:val="0"/>
      <w:spacing w:before="0" w:after="0" w:line="276" w:lineRule="auto"/>
      <w:jc w:val="right"/>
    </w:pPr>
    <w:r>
      <w:rPr>
        <w:rFonts w:ascii="Arial" w:hAnsi="Arial"/>
        <w:b w:val="0"/>
        <w:i w:val="0"/>
        <w:color w:val="64748B"/>
        <w:sz w:val="16"/>
      </w:rPr>
      <w:t>Runtime Safeguard Coverage Receipt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keepNext w:val="0"/>
      <w:spacing w:before="0" w:after="0" w:line="276" w:lineRule="auto"/>
      <w:jc w:val="left"/>
    </w:pPr>
    <w:r>
      <w:rPr>
        <w:rFonts w:ascii="Arial" w:hAnsi="Arial"/>
        <w:b/>
        <w:i w:val="0"/>
        <w:color w:val="64748B"/>
        <w:sz w:val="17"/>
      </w:rPr>
      <w:t>AI CHANGE DESK  |  EP043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B122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EP043 Runtime Safeguard Coverage Receipt</dc:title>
  <dc:subject>AI Change Desk operator worksheet</dc:subject>
  <dc:creator>Michael Hanna-Butros Meyering</dc:creator>
  <cp:keywords>AI governance, runtime safeguards, control coverage, evidence, worksheet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