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spacing w:after="50"/>
      </w:pPr>
      <w:r>
        <w:rPr>
          <w:rFonts w:ascii="Helvetica" w:hAnsi="Helvetica" w:cs="Helvetica"/>
          <w:sz w:val="19"/>
          <w:sz-cs w:val="19"/>
          <w:b/>
          <w:color w:val="13645B"/>
        </w:rPr>
        <w:t xml:space="preserve">AI CHANGE DESK</w:t>
      </w:r>
      <w:r>
        <w:rPr>
          <w:rFonts w:ascii="Helvetica" w:hAnsi="Helvetica" w:cs="Helvetica"/>
          <w:sz w:val="19"/>
          <w:sz-cs w:val="19"/>
          <w:color w:val="13645B"/>
        </w:rPr>
        <w:t xml:space="preserve"/>
      </w:r>
    </w:p>
    <w:p>
      <w:pPr>
        <w:jc w:val="center"/>
        <w:spacing w:after="60"/>
      </w:pPr>
      <w:r>
        <w:rPr>
          <w:rFonts w:ascii="Helvetica" w:hAnsi="Helvetica" w:cs="Helvetica"/>
          <w:sz w:val="22"/>
          <w:sz-cs w:val="22"/>
          <w:b/>
          <w:color w:val="C2560E"/>
        </w:rPr>
        <w:t xml:space="preserve">EP042 WORKSHEET</w:t>
      </w:r>
      <w:r>
        <w:rPr>
          <w:rFonts w:ascii="Helvetica" w:hAnsi="Helvetica" w:cs="Helvetica"/>
          <w:sz w:val="22"/>
          <w:sz-cs w:val="22"/>
          <w:color w:val="C2560E"/>
        </w:rPr>
        <w:t xml:space="preserve"/>
      </w:r>
    </w:p>
    <w:p>
      <w:pPr>
        <w:jc w:val="center"/>
        <w:spacing w:after="80"/>
      </w:pPr>
      <w:r>
        <w:rPr>
          <w:rFonts w:ascii="Helvetica" w:hAnsi="Helvetica" w:cs="Helvetica"/>
          <w:sz w:val="38"/>
          <w:sz-cs w:val="38"/>
          <w:b/>
          <w:color w:val="0F172A"/>
        </w:rPr>
        <w:t xml:space="preserve">Where Does Zero Retention End?</w:t>
      </w:r>
      <w:r>
        <w:rPr>
          <w:rFonts w:ascii="Helvetica" w:hAnsi="Helvetica" w:cs="Helvetica"/>
          <w:sz w:val="38"/>
          <w:sz-cs w:val="38"/>
          <w:color w:val="0F172A"/>
        </w:rPr>
        <w:t xml:space="preserve"/>
      </w:r>
    </w:p>
    <w:p>
      <w:pPr>
        <w:jc w:val="center"/>
        <w:spacing w:after="140"/>
      </w:pPr>
      <w:r>
        <w:rPr>
          <w:rFonts w:ascii="Helvetica" w:hAnsi="Helvetica" w:cs="Helvetica"/>
          <w:sz w:val="20"/>
          <w:sz-cs w:val="20"/>
          <w:color w:val="475569"/>
        </w:rPr>
        <w:t xml:space="preserve">EP042 operator memo and worksheet</w:t>
      </w:r>
    </w:p>
    <w:p>
      <w:pPr>
        <w:jc w:val="center"/>
        <w:spacing w:after="40"/>
      </w:pPr>
      <w:r>
        <w:rPr>
          <w:rFonts w:ascii="Helvetica" w:hAnsi="Helvetica" w:cs="Helvetica"/>
          <w:sz w:val="19"/>
          <w:sz-cs w:val="19"/>
          <w:color w:val="475569"/>
        </w:rPr>
        <w:t xml:space="preserve">Published August 26, 2026   |   Runtime 26m 16s</w:t>
      </w:r>
    </w:p>
    <w:p>
      <w:pPr>
        <w:jc w:val="center"/>
        <w:spacing w:after="180"/>
      </w:pPr>
      <w:r>
        <w:rPr>
          <w:rFonts w:ascii="Helvetica" w:hAnsi="Helvetica" w:cs="Helvetica"/>
          <w:sz w:val="19"/>
          <w:sz-cs w:val="19"/>
          <w:color w:val="475569"/>
        </w:rPr>
        <w:t xml:space="preserve">Signals, assignments, and next-week actions</w:t>
      </w:r>
    </w:p>
    <w:p>
      <w:pPr>
        <w:spacing w:after="80"/>
      </w:pPr>
      <w:r>
        <w:rPr>
          <w:rFonts w:ascii="Helvetica" w:hAnsi="Helvetica" w:cs="Helvetica"/>
          <w:sz w:val="25"/>
          <w:sz-cs w:val="25"/>
          <w:b/>
          <w:color w:val="13645B"/>
        </w:rPr>
        <w:t xml:space="preserve">SIGNAL BRIEF</w:t>
      </w:r>
      <w:r>
        <w:rPr>
          <w:rFonts w:ascii="Helvetica" w:hAnsi="Helvetica" w:cs="Helvetica"/>
          <w:sz w:val="25"/>
          <w:sz-cs w:val="25"/>
          <w:color w:val="13645B"/>
        </w:rPr>
        <w:t xml:space="preserve"/>
      </w:r>
    </w:p>
    <w:p>
      <w:pPr>
        <w:spacing w:after="100"/>
      </w:pPr>
      <w:r>
        <w:rPr>
          <w:rFonts w:ascii="Helvetica" w:hAnsi="Helvetica" w:cs="Helvetica"/>
          <w:sz w:val="22"/>
          <w:sz-cs w:val="22"/>
          <w:color w:val="0F172A"/>
        </w:rPr>
        <w:t xml:space="preserve">This episode was delayed one day because the Hawk Fire affecting the Verdi and northwest Reno area required Michael's attention. Michael's thoughts are with everyone affected and with the firefighters, emergency crews, volunteers, and neighbors supporting the response. The episode was source-checked again on August 25, 2026.</w:t>
      </w:r>
    </w:p>
    <w:p>
      <w:pPr>
        <w:spacing w:after="100"/>
      </w:pPr>
      <w:r>
        <w:rPr>
          <w:rFonts w:ascii="Helvetica" w:hAnsi="Helvetica" w:cs="Helvetica"/>
          <w:sz w:val="22"/>
          <w:sz-cs w:val="22"/>
          <w:color w:val="0F172A"/>
        </w:rPr>
        <w:t xml:space="preserve">OpenAI's new Private Safety Processing preview raises a useful operating question: when a provider makes a precise Zero Data Retention commitment, can your organization prove the rest of the data path?</w:t>
      </w:r>
    </w:p>
    <w:p>
      <w:pPr>
        <w:spacing w:after="100"/>
      </w:pPr>
      <w:r>
        <w:rPr>
          <w:rFonts w:ascii="Helvetica" w:hAnsi="Helvetica" w:cs="Helvetica"/>
          <w:sz w:val="22"/>
          <w:sz-cs w:val="22"/>
          <w:color w:val="0F172A"/>
        </w:rPr>
        <w:t xml:space="preserve">In episode forty-two, Michael separates provider-content retention from application state, operational telemetry, customer-side logs, third-party tools, outputs, records, and backups. The episode introduces a six-part retention-boundary receipt and a 45-minute synthetic test for checking whether your system's actual behavior matches the language your organization uses.</w:t>
      </w:r>
    </w:p>
    <w:p>
      <w:pPr>
        <w:spacing w:after="80"/>
      </w:pPr>
      <w:r>
        <w:rPr>
          <w:rFonts w:ascii="Helvetica" w:hAnsi="Helvetica" w:cs="Helvetica"/>
          <w:sz w:val="25"/>
          <w:sz-cs w:val="25"/>
          <w:b/>
          <w:color w:val="13645B"/>
        </w:rPr>
        <w:t xml:space="preserve">WHAT TO WATCH</w:t>
      </w:r>
      <w:r>
        <w:rPr>
          <w:rFonts w:ascii="Helvetica" w:hAnsi="Helvetica" w:cs="Helvetica"/>
          <w:sz w:val="25"/>
          <w:sz-cs w:val="25"/>
          <w:color w:val="13645B"/>
        </w:rPr>
        <w:t xml:space="preserve"/>
      </w:r>
    </w:p>
    <w:p>
      <w:pPr>
        <w:spacing w:after="80"/>
      </w:pPr>
      <w:r>
        <w:rPr>
          <w:rFonts w:ascii="Helvetica" w:hAnsi="Helvetica" w:cs="Helvetica"/>
          <w:sz w:val="25"/>
          <w:sz-cs w:val="25"/>
          <w:b/>
          <w:color w:val="13645B"/>
        </w:rPr>
        <w:t xml:space="preserve">OPERATIONAL SHIFT</w:t>
      </w:r>
      <w:r>
        <w:rPr>
          <w:rFonts w:ascii="Helvetica" w:hAnsi="Helvetica" w:cs="Helvetica"/>
          <w:sz w:val="25"/>
          <w:sz-cs w:val="25"/>
          <w:color w:val="13645B"/>
        </w:rPr>
        <w:t xml:space="preserve"/>
      </w:r>
    </w:p>
    <w:p>
      <w:pPr>
        <w:spacing w:after="100"/>
      </w:pPr>
      <w:r>
        <w:rPr>
          <w:rFonts w:ascii="Helvetica" w:hAnsi="Helvetica" w:cs="Helvetica"/>
          <w:sz w:val="22"/>
          <w:sz-cs w:val="22"/>
          <w:color w:val="0F172A"/>
        </w:rPr>
        <w:t xml:space="preserve">OpenAI's Private Safety Processing preview raises a practical privacy question: when a provider makes a precise Zero Data Retention commitment, can your organization prove the rest of the data path? EP042 introduces a six-part retention-boundary receipt and a 45-minute synthetic test.</w:t>
      </w:r>
    </w:p>
    <w:p>
      <w:pPr>
        <w:spacing w:after="80"/>
      </w:pPr>
      <w:r>
        <w:rPr>
          <w:rFonts w:ascii="Helvetica" w:hAnsi="Helvetica" w:cs="Helvetica"/>
          <w:sz w:val="25"/>
          <w:sz-cs w:val="25"/>
          <w:b/>
          <w:color w:val="13645B"/>
        </w:rPr>
        <w:t xml:space="preserve">THIS WEEK'S MOVES</w:t>
      </w:r>
      <w:r>
        <w:rPr>
          <w:rFonts w:ascii="Helvetica" w:hAnsi="Helvetica" w:cs="Helvetica"/>
          <w:sz w:val="25"/>
          <w:sz-cs w:val="25"/>
          <w:color w:val="13645B"/>
        </w:rPr>
        <w:t xml:space="preserve"/>
      </w:r>
    </w:p>
    <w:p>
      <w:pPr>
        <w:ind w:left="540" w:first-line="-270"/>
        <w:spacing w:after="70"/>
      </w:pPr>
      <w:r>
        <w:rPr>
          <w:rFonts w:ascii="Helvetica" w:hAnsi="Helvetica" w:cs="Helvetica"/>
          <w:sz w:val="22"/>
          <w:sz-cs w:val="22"/>
          <w:color w:val="0F172A"/>
        </w:rPr>
        <w:t xml:space="preserve">1.</w:t>
        <w:tab/>
        <w:t xml:space="preserve">Name one owner, one deadline, and one proof point for the most important signal in this episode.</w:t>
      </w:r>
    </w:p>
    <w:p>
      <w:pPr>
        <w:ind w:left="540" w:first-line="-270"/>
        <w:spacing w:after="70"/>
      </w:pPr>
      <w:r>
        <w:rPr>
          <w:rFonts w:ascii="Helvetica" w:hAnsi="Helvetica" w:cs="Helvetica"/>
          <w:sz w:val="22"/>
          <w:sz-cs w:val="22"/>
          <w:color w:val="0F172A"/>
        </w:rPr>
        <w:t xml:space="preserve"/>
        <w:br w:type="page"/>
        <w:t xml:space="preserve"/>
      </w:r>
      <w:r>
        <w:rPr>
          <w:rFonts w:ascii="Helvetica" w:hAnsi="Helvetica" w:cs="Helvetica"/>
          <w:sz w:val="25"/>
          <w:sz-cs w:val="25"/>
          <w:b/>
          <w:color w:val="13645B"/>
        </w:rPr>
        <w:t xml:space="preserve">WORKING SHEET</w:t>
      </w:r>
      <w:r>
        <w:rPr>
          <w:rFonts w:ascii="Helvetica" w:hAnsi="Helvetica" w:cs="Helvetica"/>
          <w:sz w:val="25"/>
          <w:sz-cs w:val="25"/>
          <w:color w:val="13645B"/>
        </w:rPr>
        <w:t xml:space="preserve"/>
      </w:r>
    </w:p>
    <w:p>
      <w:pPr>
        <w:spacing w:after="90"/>
      </w:pPr>
      <w:r>
        <w:rPr>
          <w:rFonts w:ascii="Helvetica" w:hAnsi="Helvetica" w:cs="Helvetica"/>
          <w:sz w:val="21"/>
          <w:sz-cs w:val="21"/>
          <w:color w:val="475569"/>
        </w:rPr>
        <w:t xml:space="preserve">Use these boxes during a weekly planning pass or handoff review.</w:t>
      </w:r>
    </w:p>
    <w:p>
      <w:pPr>
        <w:ind w:left="120"/>
        <w:spacing w:before="40" w:after="120"/>
      </w:pPr>
      <w:r>
        <w:rPr>
          <w:rFonts w:ascii="Helvetica" w:hAnsi="Helvetica" w:cs="Helvetica"/>
          <w:sz w:val="21"/>
          <w:sz-cs w:val="21"/>
          <w:b/>
          <w:color w:val="0F172A"/>
        </w:rPr>
        <w:t xml:space="preserve">Signal 1</w:t>
      </w:r>
      <w:r>
        <w:rPr>
          <w:rFonts w:ascii="Helvetica" w:hAnsi="Helvetica" w:cs="Helvetica"/>
          <w:sz w:val="21"/>
          <w:sz-cs w:val="21"/>
          <w:color w:val="0F172A"/>
        </w:rPr>
        <w:t xml:space="preserve"/>
        <w:br/>
        <w:t xml:space="preserve">Owner: ________________________________</w:t>
        <w:br/>
        <w:t xml:space="preserve">Decision: _____________________________</w:t>
        <w:br/>
        <w:t xml:space="preserve">Due: ____________</w:t>
        <w:br/>
        <w:t xml:space="preserve">Evidence: _____________________________</w:t>
      </w:r>
    </w:p>
    <w:p>
      <w:pPr>
        <w:ind w:left="120"/>
        <w:spacing w:before="40" w:after="120"/>
      </w:pPr>
      <w:r>
        <w:rPr>
          <w:rFonts w:ascii="Helvetica" w:hAnsi="Helvetica" w:cs="Helvetica"/>
          <w:sz w:val="21"/>
          <w:sz-cs w:val="21"/>
          <w:b/>
          <w:color w:val="0F172A"/>
        </w:rPr>
        <w:t xml:space="preserve">Signal 2</w:t>
      </w:r>
      <w:r>
        <w:rPr>
          <w:rFonts w:ascii="Helvetica" w:hAnsi="Helvetica" w:cs="Helvetica"/>
          <w:sz w:val="21"/>
          <w:sz-cs w:val="21"/>
          <w:color w:val="0F172A"/>
        </w:rPr>
        <w:t xml:space="preserve"/>
        <w:br/>
        <w:t xml:space="preserve">Owner: ________________________________</w:t>
        <w:br/>
        <w:t xml:space="preserve">Decision: _____________________________</w:t>
        <w:br/>
        <w:t xml:space="preserve">Due: ____________</w:t>
        <w:br/>
        <w:t xml:space="preserve">Evidence: _____________________________</w:t>
      </w:r>
    </w:p>
    <w:p>
      <w:pPr>
        <w:ind w:left="120"/>
        <w:spacing w:before="40" w:after="120"/>
      </w:pPr>
      <w:r>
        <w:rPr>
          <w:rFonts w:ascii="Helvetica" w:hAnsi="Helvetica" w:cs="Helvetica"/>
          <w:sz w:val="21"/>
          <w:sz-cs w:val="21"/>
          <w:b/>
          <w:color w:val="0F172A"/>
        </w:rPr>
        <w:t xml:space="preserve">Signal 3</w:t>
      </w:r>
      <w:r>
        <w:rPr>
          <w:rFonts w:ascii="Helvetica" w:hAnsi="Helvetica" w:cs="Helvetica"/>
          <w:sz w:val="21"/>
          <w:sz-cs w:val="21"/>
          <w:color w:val="0F172A"/>
        </w:rPr>
        <w:t xml:space="preserve"/>
        <w:br/>
        <w:t xml:space="preserve">Owner: ________________________________</w:t>
        <w:br/>
        <w:t xml:space="preserve">Decision: _____________________________</w:t>
        <w:br/>
        <w:t xml:space="preserve">Due: ____________</w:t>
        <w:br/>
        <w:t xml:space="preserve">Evidence: _____________________________</w:t>
      </w:r>
    </w:p>
    <w:p>
      <w:pPr>
        <w:spacing w:after="80"/>
      </w:pPr>
      <w:r>
        <w:rPr>
          <w:rFonts w:ascii="Helvetica" w:hAnsi="Helvetica" w:cs="Helvetica"/>
          <w:sz w:val="25"/>
          <w:sz-cs w:val="25"/>
          <w:b/>
          <w:color w:val="13645B"/>
        </w:rPr>
        <w:t xml:space="preserve">TEAM PROMPT</w:t>
      </w:r>
      <w:r>
        <w:rPr>
          <w:rFonts w:ascii="Helvetica" w:hAnsi="Helvetica" w:cs="Helvetica"/>
          <w:sz w:val="25"/>
          <w:sz-cs w:val="25"/>
          <w:color w:val="13645B"/>
        </w:rPr>
        <w:t xml:space="preserve"/>
      </w:r>
    </w:p>
    <w:p>
      <w:pPr>
        <w:spacing w:after="100"/>
      </w:pPr>
      <w:r>
        <w:rPr>
          <w:rFonts w:ascii="Helvetica" w:hAnsi="Helvetica" w:cs="Helvetica"/>
          <w:sz w:val="22"/>
          <w:sz-cs w:val="22"/>
          <w:color w:val="0F172A"/>
        </w:rPr>
        <w:t xml:space="preserve">What is the one decision, assignment, or control your team should stop postponing this week?</w:t>
      </w:r>
    </w:p>
    <w:p>
      <w:pPr>
        <w:spacing w:after="80"/>
      </w:pPr>
      <w:r>
        <w:rPr>
          <w:rFonts w:ascii="Helvetica" w:hAnsi="Helvetica" w:cs="Helvetica"/>
          <w:sz w:val="25"/>
          <w:sz-cs w:val="25"/>
          <w:b/>
          <w:color w:val="13645B"/>
        </w:rPr>
        <w:t xml:space="preserve">SOURCE RAIL</w:t>
      </w:r>
      <w:r>
        <w:rPr>
          <w:rFonts w:ascii="Helvetica" w:hAnsi="Helvetica" w:cs="Helvetica"/>
          <w:sz w:val="25"/>
          <w:sz-cs w:val="25"/>
          <w:color w:val="13645B"/>
        </w:rPr>
        <w:t xml:space="preserve"/>
      </w:r>
    </w:p>
    <w:p>
      <w:pPr>
        <w:ind w:left="540" w:first-line="-270"/>
        <w:spacing w:after="70"/>
      </w:pPr>
      <w:r>
        <w:rPr>
          <w:rFonts w:ascii="Helvetica" w:hAnsi="Helvetica" w:cs="Helvetica"/>
          <w:sz w:val="21"/>
          <w:sz-cs w:val="21"/>
          <w:color w:val="13645B"/>
        </w:rPr>
        <w:t xml:space="preserve">•</w:t>
        <w:tab/>
        <w:t xml:space="preserve">Episode page: </w:t>
      </w:r>
      <w:r>
        <w:rPr>
          <w:rFonts w:ascii="Helvetica" w:hAnsi="Helvetica" w:cs="Helvetica"/>
          <w:sz w:val="21"/>
          <w:sz-cs w:val="21"/>
          <w:color w:val="13645B"/>
        </w:rPr>
        <w:t xml:space="preserve">https://michaelhbm.com/AiChangeDesk/episodes/ep042-where-does-zero-retention-end</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Transcript: </w:t>
      </w:r>
      <w:r>
        <w:rPr>
          <w:rFonts w:ascii="Helvetica" w:hAnsi="Helvetica" w:cs="Helvetica"/>
          <w:sz w:val="21"/>
          <w:sz-cs w:val="21"/>
          <w:color w:val="13645B"/>
        </w:rPr>
        <w:t xml:space="preserve">https://michaelhbm.com/AiChangeDesk/episodes/ep042-where-does-zero-retention-end/transcript</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OpenAI: Offering Zero Data Retention for frontier models: </w:t>
      </w:r>
      <w:r>
        <w:rPr>
          <w:rFonts w:ascii="Helvetica" w:hAnsi="Helvetica" w:cs="Helvetica"/>
          <w:sz w:val="21"/>
          <w:sz-cs w:val="21"/>
          <w:color w:val="13645B"/>
        </w:rPr>
        <w:t xml:space="preserve">https://openai.com/index/offering-zero-data-retention-for-frontier-models/</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OpenAI API: Data controls in the OpenAI platform: </w:t>
      </w:r>
      <w:r>
        <w:rPr>
          <w:rFonts w:ascii="Helvetica" w:hAnsi="Helvetica" w:cs="Helvetica"/>
          <w:sz w:val="21"/>
          <w:sz-cs w:val="21"/>
          <w:color w:val="13645B"/>
        </w:rPr>
        <w:t xml:space="preserve">https://platform.openai.com/docs/models/default-usage-policies-by-endpoint</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NIST Privacy Framework: </w:t>
      </w:r>
      <w:r>
        <w:rPr>
          <w:rFonts w:ascii="Helvetica" w:hAnsi="Helvetica" w:cs="Helvetica"/>
          <w:sz w:val="21"/>
          <w:sz-cs w:val="21"/>
          <w:color w:val="13645B"/>
        </w:rPr>
        <w:t xml:space="preserve">https://www.nist.gov/privacy-framework</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NIST: Getting Started with the Privacy Framework: </w:t>
      </w:r>
      <w:r>
        <w:rPr>
          <w:rFonts w:ascii="Helvetica" w:hAnsi="Helvetica" w:cs="Helvetica"/>
          <w:sz w:val="21"/>
          <w:sz-cs w:val="21"/>
          <w:color w:val="13645B"/>
        </w:rPr>
        <w:t xml:space="preserve">https://www.nist.gov/privacy-framework/getting-started-0</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Emergency Washoe: Hawk Fire update: </w:t>
      </w:r>
      <w:r>
        <w:rPr>
          <w:rFonts w:ascii="Helvetica" w:hAnsi="Helvetica" w:cs="Helvetica"/>
          <w:sz w:val="21"/>
          <w:sz-cs w:val="21"/>
          <w:color w:val="13645B"/>
        </w:rPr>
        <w:t xml:space="preserve">https://www.emergencywashoe.com/fire/7159/</w:t>
      </w:r>
      <w:r>
        <w:rPr>
          <w:rFonts w:ascii="Helvetica" w:hAnsi="Helvetica" w:cs="Helvetica"/>
          <w:sz w:val="21"/>
          <w:sz-cs w:val="21"/>
          <w:color w:val="13645B"/>
        </w:rPr>
        <w:t xml:space="preserve"/>
      </w:r>
    </w:p>
    <w:p>
      <w:pPr>
        <w:ind w:left="540" w:first-line="-270"/>
        <w:spacing w:after="70"/>
      </w:pPr>
      <w:r>
        <w:rPr>
          <w:rFonts w:ascii="Helvetica" w:hAnsi="Helvetica" w:cs="Helvetica"/>
          <w:sz w:val="21"/>
          <w:sz-cs w:val="21"/>
          <w:color w:val="13645B"/>
        </w:rPr>
        <w:t xml:space="preserve">•</w:t>
        <w:tab/>
        <w:t xml:space="preserve">Nevada Governor: State of Emergency for Hawk Fire: </w:t>
      </w:r>
      <w:r>
        <w:rPr>
          <w:rFonts w:ascii="Helvetica" w:hAnsi="Helvetica" w:cs="Helvetica"/>
          <w:sz w:val="21"/>
          <w:sz-cs w:val="21"/>
          <w:color w:val="13645B"/>
        </w:rPr>
        <w:t xml:space="preserve">https://www.gov.nv.gov/press-releases/governor-joe-lombardo-declares-state-of-emergency-for-hawk-fire-in-washoe-county/</w:t>
      </w:r>
      <w:r>
        <w:rPr>
          <w:rFonts w:ascii="Helvetica" w:hAnsi="Helvetica" w:cs="Helvetica"/>
          <w:sz w:val="21"/>
          <w:sz-cs w:val="21"/>
          <w:color w:val="13645B"/>
        </w:rPr>
        <w:t xml:space="preserve"/>
      </w:r>
    </w:p>
    <w:p>
      <w:pPr/>
      <w:r>
        <w:rPr>
          <w:rFonts w:ascii="Helvetica" w:hAnsi="Helvetica" w:cs="Helvetica"/>
          <w:sz w:val="18"/>
          <w:sz-cs w:val="18"/>
          <w:i/>
          <w:color w:val="475569"/>
        </w:rPr>
        <w:t xml:space="preserve">Generated 2026-08-26T15:59:56Z</w:t>
      </w:r>
      <w:r>
        <w:rPr>
          <w:rFonts w:ascii="Helvetica" w:hAnsi="Helvetica" w:cs="Helvetica"/>
          <w:sz w:val="18"/>
          <w:sz-cs w:val="18"/>
          <w:color w:val="475569"/>
        </w:rPr>
        <w:t xml:space="preserve"/>
      </w:r>
    </w:p>
    <w:sectPr>
      <w:pgSz w:w="12240" w:h="15840"/>
      <w:pgMar w:top="1080" w:right="1080" w:bottom="1080" w:left="108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AI Change Desk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EP042 Retention-Boundary Receipt Worksheet</dc:title>
  <dc:creator>Michael Hanna-Butros Meyering</dc:creator>
</cp:coreProperties>
</file>

<file path=docProps/meta.xml><?xml version="1.0" encoding="utf-8"?>
<meta xmlns="http://schemas.apple.com/cocoa/2006/metadata">
  <generator>CocoaOOXMLWriter/2685.6</generator>
</meta>
</file>