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34D1BF"/>
            <w:tcBorders>
              <w:top w:val="single" w:sz="0" w:color="34D1BF"/>
              <w:left w:val="single" w:sz="0" w:color="34D1BF"/>
              <w:bottom w:val="single" w:sz="0" w:color="34D1BF"/>
              <w:right w:val="single" w:sz="0" w:color="34D1BF"/>
              <w:insideH w:val="single" w:sz="0" w:color="34D1BF"/>
              <w:insideV w:val="single" w:sz="0" w:color="34D1BF"/>
            </w:tcBorders>
            <w:tcMar>
              <w:top w:w="25" w:type="dxa"/>
              <w:start w:w="0" w:type="dxa"/>
              <w:bottom w:w="25" w:type="dxa"/>
              <w:end w:w="0" w:type="dxa"/>
            </w:tcMar>
          </w:tcPr>
          <w:p>
            <w:r/>
          </w:p>
        </w:tc>
      </w:tr>
    </w:tbl>
    <w:p>
      <w:pPr>
        <w:spacing w:before="240" w:after="140"/>
        <w:jc w:val="center"/>
      </w:pPr>
      <w:r>
        <w:rPr>
          <w:rFonts w:ascii="Avenir Next" w:hAnsi="Avenir Next"/>
          <w:b/>
          <w:color w:val="FF7A18"/>
          <w:sz w:val="20"/>
        </w:rPr>
        <w:t>AI CHANGE DESK</w:t>
      </w:r>
    </w:p>
    <w:p>
      <w:pPr>
        <w:spacing w:after="200"/>
        <w:jc w:val="center"/>
      </w:pPr>
      <w:r>
        <w:drawing>
          <wp:inline xmlns:a="http://schemas.openxmlformats.org/drawingml/2006/main" xmlns:pic="http://schemas.openxmlformats.org/drawingml/2006/picture">
            <wp:extent cx="1874519" cy="187451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dcast-cover-3000x300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74519" cy="18745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40"/>
        <w:jc w:val="center"/>
      </w:pPr>
      <w:r>
        <w:t>Trajectory Receipt Worksheet</w:t>
      </w:r>
    </w:p>
    <w:p>
      <w:pPr>
        <w:pStyle w:val="Subtitle"/>
        <w:jc w:val="center"/>
      </w:pPr>
      <w:r>
        <w:t>The Receipt Is the Trajectory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0B1220"/>
            <w:tcBorders>
              <w:top w:val="single" w:sz="0" w:color="0B1220"/>
              <w:left w:val="single" w:sz="0" w:color="0B1220"/>
              <w:bottom w:val="single" w:sz="0" w:color="0B1220"/>
              <w:right w:val="single" w:sz="0" w:color="0B1220"/>
              <w:insideH w:val="single" w:sz="0" w:color="0B1220"/>
              <w:insideV w:val="single" w:sz="0" w:color="0B1220"/>
            </w:tcBorders>
            <w:tcMar>
              <w:top w:w="170" w:type="dxa"/>
              <w:start w:w="210" w:type="dxa"/>
              <w:bottom w:w="170" w:type="dxa"/>
              <w:end w:w="210" w:type="dxa"/>
            </w:tcMar>
          </w:tcPr>
          <w:p>
            <w:r/>
            <w:r>
              <w:rPr>
                <w:rFonts w:ascii="Avenir Next" w:hAnsi="Avenir Next"/>
                <w:b/>
                <w:color w:val="34D1BF"/>
                <w:sz w:val="18"/>
              </w:rPr>
              <w:t>45-MINUTE OPERATOR DRILL</w:t>
            </w:r>
          </w:p>
          <w:p>
            <w:pPr>
              <w:spacing w:after="0"/>
            </w:pPr>
            <w:r>
              <w:rPr>
                <w:rFonts w:ascii="Avenir Next" w:hAnsi="Avenir Next"/>
                <w:color w:val="FFFFFF"/>
                <w:sz w:val="20"/>
              </w:rPr>
              <w:t>Use this worksheet for one AI agent workflow or evaluation that sits near production. Choose the run with meaningful tools, credentials, connected data, software-install capability, network access, or enough runtime to surprise you.</w:t>
            </w:r>
          </w:p>
        </w:tc>
      </w:tr>
    </w:tbl>
    <w:p>
      <w:pPr>
        <w:spacing w:before="180"/>
        <w:jc w:val="center"/>
      </w:pPr>
      <w:r>
        <w:rPr>
          <w:rFonts w:ascii="Avenir Next" w:hAnsi="Avenir Next"/>
          <w:b/>
          <w:color w:val="0B1220"/>
          <w:sz w:val="24"/>
        </w:rPr>
        <w:t>The score is not the receipt. The path is.</w:t>
      </w:r>
    </w:p>
    <w:p>
      <w:pPr>
        <w:pStyle w:val="Heading1"/>
      </w:pPr>
      <w:r>
        <w:t>Run profile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0"/>
        <w:gridCol w:w="7848"/>
      </w:tblGrid>
      <w:tr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/>
                <w:color w:val="64748B"/>
                <w:sz w:val="16"/>
              </w:rPr>
              <w:t>WORKFLOW / EVALUATION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 w:val="0"/>
                <w:color w:val="0B1220"/>
                <w:sz w:val="18"/>
              </w:rPr>
              <w:t>Name the exact run being reviewed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0"/>
        <w:gridCol w:w="7848"/>
      </w:tblGrid>
      <w:tr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/>
                <w:color w:val="64748B"/>
                <w:sz w:val="16"/>
              </w:rPr>
              <w:t>BUSINESS OWNER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 w:val="0"/>
                <w:color w:val="0B1220"/>
                <w:sz w:val="18"/>
              </w:rPr>
              <w:t>________________________________________________________________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0"/>
        <w:gridCol w:w="7848"/>
      </w:tblGrid>
      <w:tr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/>
                <w:color w:val="64748B"/>
                <w:sz w:val="16"/>
              </w:rPr>
              <w:t>TECHNICAL OWNER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 w:val="0"/>
                <w:color w:val="0B1220"/>
                <w:sz w:val="18"/>
              </w:rPr>
              <w:t>________________________________________________________________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0"/>
        <w:gridCol w:w="7848"/>
      </w:tblGrid>
      <w:tr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/>
                <w:color w:val="64748B"/>
                <w:sz w:val="16"/>
              </w:rPr>
              <w:t>INDEPENDENT STOP OWNER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 w:val="0"/>
                <w:color w:val="0B1220"/>
                <w:sz w:val="18"/>
              </w:rPr>
              <w:t>________________________________________________________________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0"/>
        <w:gridCol w:w="7848"/>
      </w:tblGrid>
      <w:tr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/>
                <w:color w:val="64748B"/>
                <w:sz w:val="16"/>
              </w:rPr>
              <w:t>REVIEW DATE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 w:val="0"/>
                <w:color w:val="0B1220"/>
                <w:sz w:val="18"/>
              </w:rPr>
              <w:t>________________________________________________________________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0"/>
        <w:gridCol w:w="7848"/>
      </w:tblGrid>
      <w:tr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/>
                <w:color w:val="64748B"/>
                <w:sz w:val="16"/>
              </w:rPr>
              <w:t>ENVIRONMENT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 w:val="0"/>
                <w:color w:val="0B1220"/>
                <w:sz w:val="18"/>
              </w:rPr>
              <w:t>test / sandbox / staging / production-adjacent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0"/>
        <w:gridCol w:w="7848"/>
      </w:tblGrid>
      <w:tr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/>
                <w:color w:val="64748B"/>
                <w:sz w:val="16"/>
              </w:rPr>
              <w:t>CURRENT STATUS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 w:val="0"/>
                <w:color w:val="0B1220"/>
                <w:sz w:val="18"/>
              </w:rPr>
              <w:t>approved / pilot / blocked / sunset</w:t>
            </w:r>
          </w:p>
        </w:tc>
      </w:tr>
    </w:tbl>
    <w:p>
      <w:r>
        <w:br w:type="page"/>
      </w:r>
    </w:p>
    <w:p>
      <w:pPr>
        <w:pStyle w:val="QuestionHeading"/>
        <w:keepNext/>
      </w:pPr>
      <w:r>
        <w:rPr>
          <w:color w:val="0B1220"/>
        </w:rPr>
        <w:t>01  Exact objective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cantSplit/>
        </w:trPr>
        <w:tc>
          <w:tcPr>
            <w:tcW w:type="dxa" w:w="10368"/>
            <w:shd w:fill="F8FAFC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110" w:type="dxa"/>
              <w:start w:w="150" w:type="dxa"/>
              <w:bottom w:w="150" w:type="dxa"/>
              <w:end w:w="150" w:type="dxa"/>
            </w:tcMar>
          </w:tcPr>
          <w:p>
            <w:pPr>
              <w:spacing w:after="100"/>
            </w:pPr>
            <w:r>
              <w:rPr>
                <w:rFonts w:ascii="Avenir Next" w:hAnsi="Avenir Next"/>
                <w:b/>
                <w:color w:val="1E293B"/>
                <w:sz w:val="18"/>
              </w:rPr>
              <w:t>What result is the system authorized to pursue?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0368"/>
            <w:shd w:fill="F8FAFC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110" w:type="dxa"/>
              <w:start w:w="150" w:type="dxa"/>
              <w:bottom w:w="150" w:type="dxa"/>
              <w:end w:w="150" w:type="dxa"/>
            </w:tcMar>
          </w:tcPr>
          <w:p>
            <w:pPr>
              <w:spacing w:after="100"/>
            </w:pPr>
            <w:r>
              <w:rPr>
                <w:rFonts w:ascii="Avenir Next" w:hAnsi="Avenir Next"/>
                <w:b/>
                <w:color w:val="1E293B"/>
                <w:sz w:val="18"/>
              </w:rPr>
              <w:t>What counts as success?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0368"/>
            <w:shd w:fill="F8FAFC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110" w:type="dxa"/>
              <w:start w:w="150" w:type="dxa"/>
              <w:bottom w:w="150" w:type="dxa"/>
              <w:end w:w="150" w:type="dxa"/>
            </w:tcMar>
          </w:tcPr>
          <w:p>
            <w:pPr>
              <w:spacing w:after="100"/>
            </w:pPr>
            <w:r>
              <w:rPr>
                <w:rFonts w:ascii="Avenir Next" w:hAnsi="Avenir Next"/>
                <w:b/>
                <w:color w:val="1E293B"/>
                <w:sz w:val="18"/>
              </w:rPr>
              <w:t>Which shortcuts remain prohibited even if they improve the score?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0368"/>
            <w:shd w:fill="ECFEFA"/>
            <w:tcBorders>
              <w:top w:val="single" w:sz="5" w:color="34D1BF"/>
              <w:left w:val="single" w:sz="5" w:color="34D1BF"/>
              <w:bottom w:val="single" w:sz="5" w:color="34D1BF"/>
              <w:right w:val="single" w:sz="5" w:color="34D1BF"/>
              <w:insideH w:val="single" w:sz="5" w:color="34D1BF"/>
              <w:insideV w:val="single" w:sz="5" w:color="34D1BF"/>
            </w:tcBorders>
            <w:tcMar>
              <w:top w:w="110" w:type="dxa"/>
              <w:start w:w="150" w:type="dxa"/>
              <w:bottom w:w="150" w:type="dxa"/>
              <w:end w:w="150" w:type="dxa"/>
            </w:tcMar>
          </w:tcPr>
          <w:p>
            <w:r>
              <w:rPr>
                <w:rFonts w:ascii="Avenir Next" w:hAnsi="Avenir Next"/>
                <w:b/>
                <w:color w:val="0B1220"/>
                <w:sz w:val="18"/>
              </w:rPr>
              <w:t>Evidence or policy reference, plus accountable owner</w:t>
            </w:r>
          </w:p>
          <w:p>
            <w:pPr>
              <w:spacing w:after="20"/>
            </w:pPr>
            <w:r>
              <w:rPr>
                <w:color w:val="A7DCD5"/>
                <w:sz w:val="16"/>
              </w:rPr>
              <w:t>________________________________________________________________________________</w:t>
            </w:r>
          </w:p>
          <w:p>
            <w:pPr>
              <w:spacing w:after="20"/>
            </w:pPr>
            <w:r>
              <w:rPr>
                <w:color w:val="A7DCD5"/>
                <w:sz w:val="16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QuestionHeading"/>
        <w:keepNext/>
      </w:pPr>
      <w:r>
        <w:rPr>
          <w:color w:val="0B1220"/>
        </w:rPr>
        <w:t>02  Configuration delta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cantSplit/>
        </w:trPr>
        <w:tc>
          <w:tcPr>
            <w:tcW w:type="dxa" w:w="10368"/>
            <w:shd w:fill="F8FAFC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110" w:type="dxa"/>
              <w:start w:w="150" w:type="dxa"/>
              <w:bottom w:w="150" w:type="dxa"/>
              <w:end w:w="150" w:type="dxa"/>
            </w:tcMar>
          </w:tcPr>
          <w:p>
            <w:pPr>
              <w:spacing w:after="100"/>
            </w:pPr>
            <w:r>
              <w:rPr>
                <w:rFonts w:ascii="Avenir Next" w:hAnsi="Avenir Next"/>
                <w:b/>
                <w:color w:val="1E293B"/>
                <w:sz w:val="18"/>
              </w:rPr>
              <w:t>Which safeguards are reduced or disabled?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0368"/>
            <w:shd w:fill="F8FAFC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110" w:type="dxa"/>
              <w:start w:w="150" w:type="dxa"/>
              <w:bottom w:w="150" w:type="dxa"/>
              <w:end w:w="150" w:type="dxa"/>
            </w:tcMar>
          </w:tcPr>
          <w:p>
            <w:pPr>
              <w:spacing w:after="100"/>
            </w:pPr>
            <w:r>
              <w:rPr>
                <w:rFonts w:ascii="Avenir Next" w:hAnsi="Avenir Next"/>
                <w:b/>
                <w:color w:val="1E293B"/>
                <w:sz w:val="18"/>
              </w:rPr>
              <w:t>Which system instructions, tools, budgets, or runtime limits differ from normal production use?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0368"/>
            <w:shd w:fill="F8FAFC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110" w:type="dxa"/>
              <w:start w:w="150" w:type="dxa"/>
              <w:bottom w:w="150" w:type="dxa"/>
              <w:end w:w="150" w:type="dxa"/>
            </w:tcMar>
          </w:tcPr>
          <w:p>
            <w:pPr>
              <w:spacing w:after="100"/>
            </w:pPr>
            <w:r>
              <w:rPr>
                <w:rFonts w:ascii="Avenir Next" w:hAnsi="Avenir Next"/>
                <w:b/>
                <w:color w:val="1E293B"/>
                <w:sz w:val="18"/>
              </w:rPr>
              <w:t>Who approved each difference, and when does it expire or roll back?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QuestionHeading"/>
        <w:keepNext/>
      </w:pPr>
      <w:r>
        <w:rPr>
          <w:color w:val="0B1220"/>
        </w:rPr>
        <w:t>03  Hard environment boundary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cantSplit/>
        </w:trPr>
        <w:tc>
          <w:tcPr>
            <w:tcW w:type="dxa" w:w="10368"/>
            <w:shd w:fill="F8FAFC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110" w:type="dxa"/>
              <w:start w:w="150" w:type="dxa"/>
              <w:bottom w:w="150" w:type="dxa"/>
              <w:end w:w="150" w:type="dxa"/>
            </w:tcMar>
          </w:tcPr>
          <w:p>
            <w:pPr>
              <w:spacing w:after="100"/>
            </w:pPr>
            <w:r>
              <w:rPr>
                <w:rFonts w:ascii="Avenir Next" w:hAnsi="Avenir Next"/>
                <w:b/>
                <w:color w:val="1E293B"/>
                <w:sz w:val="18"/>
              </w:rPr>
              <w:t>What network destinations are allowlisted?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0368"/>
            <w:shd w:fill="F8FAFC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110" w:type="dxa"/>
              <w:start w:w="150" w:type="dxa"/>
              <w:bottom w:w="150" w:type="dxa"/>
              <w:end w:w="150" w:type="dxa"/>
            </w:tcMar>
          </w:tcPr>
          <w:p>
            <w:pPr>
              <w:spacing w:after="100"/>
            </w:pPr>
            <w:r>
              <w:rPr>
                <w:rFonts w:ascii="Avenir Next" w:hAnsi="Avenir Next"/>
                <w:b/>
                <w:color w:val="1E293B"/>
                <w:sz w:val="18"/>
              </w:rPr>
              <w:t>What are the software-install and data boundaries?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0368"/>
            <w:shd w:fill="F8FAFC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110" w:type="dxa"/>
              <w:start w:w="150" w:type="dxa"/>
              <w:bottom w:w="150" w:type="dxa"/>
              <w:end w:w="150" w:type="dxa"/>
            </w:tcMar>
          </w:tcPr>
          <w:p>
            <w:pPr>
              <w:spacing w:after="100"/>
            </w:pPr>
            <w:r>
              <w:rPr>
                <w:rFonts w:ascii="Avenir Next" w:hAnsi="Avenir Next"/>
                <w:b/>
                <w:color w:val="1E293B"/>
                <w:sz w:val="18"/>
              </w:rPr>
              <w:t>What proves isolation, and when was that control last tested?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QuestionHeading"/>
        <w:keepNext/>
      </w:pPr>
      <w:r>
        <w:rPr>
          <w:color w:val="0B1220"/>
        </w:rPr>
        <w:t>04  Identities, credentials, and data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cantSplit/>
        </w:trPr>
        <w:tc>
          <w:tcPr>
            <w:tcW w:type="dxa" w:w="10368"/>
            <w:shd w:fill="F8FAFC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110" w:type="dxa"/>
              <w:start w:w="150" w:type="dxa"/>
              <w:bottom w:w="150" w:type="dxa"/>
              <w:end w:w="150" w:type="dxa"/>
            </w:tcMar>
          </w:tcPr>
          <w:p>
            <w:pPr>
              <w:spacing w:after="100"/>
            </w:pPr>
            <w:r>
              <w:rPr>
                <w:rFonts w:ascii="Avenir Next" w:hAnsi="Avenir Next"/>
                <w:b/>
                <w:color w:val="1E293B"/>
                <w:sz w:val="18"/>
              </w:rPr>
              <w:t>Which identities and credentials exist in the run?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0368"/>
            <w:shd w:fill="F8FAFC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110" w:type="dxa"/>
              <w:start w:w="150" w:type="dxa"/>
              <w:bottom w:w="150" w:type="dxa"/>
              <w:end w:w="150" w:type="dxa"/>
            </w:tcMar>
          </w:tcPr>
          <w:p>
            <w:pPr>
              <w:spacing w:after="100"/>
            </w:pPr>
            <w:r>
              <w:rPr>
                <w:rFonts w:ascii="Avenir Next" w:hAnsi="Avenir Next"/>
                <w:b/>
                <w:color w:val="1E293B"/>
                <w:sz w:val="18"/>
              </w:rPr>
              <w:t>Which data sources are reachable, and who owns each one?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0368"/>
            <w:shd w:fill="F8FAFC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110" w:type="dxa"/>
              <w:start w:w="150" w:type="dxa"/>
              <w:bottom w:w="150" w:type="dxa"/>
              <w:end w:w="150" w:type="dxa"/>
            </w:tcMar>
          </w:tcPr>
          <w:p>
            <w:pPr>
              <w:spacing w:after="100"/>
            </w:pPr>
            <w:r>
              <w:rPr>
                <w:rFonts w:ascii="Avenir Next" w:hAnsi="Avenir Next"/>
                <w:b/>
                <w:color w:val="1E293B"/>
                <w:sz w:val="18"/>
              </w:rPr>
              <w:t>What expires automatically, and what is never available to the agent?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QuestionHeading"/>
        <w:keepNext/>
      </w:pPr>
      <w:r>
        <w:rPr>
          <w:color w:val="0B1220"/>
        </w:rPr>
        <w:t>05  Retained action trace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cantSplit/>
        </w:trPr>
        <w:tc>
          <w:tcPr>
            <w:tcW w:type="dxa" w:w="10368"/>
            <w:shd w:fill="F8FAFC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110" w:type="dxa"/>
              <w:start w:w="150" w:type="dxa"/>
              <w:bottom w:w="150" w:type="dxa"/>
              <w:end w:w="150" w:type="dxa"/>
            </w:tcMar>
          </w:tcPr>
          <w:p>
            <w:pPr>
              <w:spacing w:after="100"/>
            </w:pPr>
            <w:r>
              <w:rPr>
                <w:rFonts w:ascii="Avenir Next" w:hAnsi="Avenir Next"/>
                <w:b/>
                <w:color w:val="1E293B"/>
                <w:sz w:val="18"/>
              </w:rPr>
              <w:t>Where are tool calls, permission decisions, retries, denials, and environment changes retained?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0368"/>
            <w:shd w:fill="F8FAFC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110" w:type="dxa"/>
              <w:start w:w="150" w:type="dxa"/>
              <w:bottom w:w="150" w:type="dxa"/>
              <w:end w:w="150" w:type="dxa"/>
            </w:tcMar>
          </w:tcPr>
          <w:p>
            <w:pPr>
              <w:spacing w:after="100"/>
            </w:pPr>
            <w:r>
              <w:rPr>
                <w:rFonts w:ascii="Avenir Next" w:hAnsi="Avenir Next"/>
                <w:b/>
                <w:color w:val="1E293B"/>
                <w:sz w:val="18"/>
              </w:rPr>
              <w:t>Where are identity changes, boundary contacts, network destinations, and human interventions retained?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0368"/>
            <w:shd w:fill="F8FAFC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110" w:type="dxa"/>
              <w:start w:w="150" w:type="dxa"/>
              <w:bottom w:w="150" w:type="dxa"/>
              <w:end w:w="150" w:type="dxa"/>
            </w:tcMar>
          </w:tcPr>
          <w:p>
            <w:pPr>
              <w:spacing w:after="100"/>
            </w:pPr>
            <w:r>
              <w:rPr>
                <w:rFonts w:ascii="Avenir Next" w:hAnsi="Avenir Next"/>
                <w:b/>
                <w:color w:val="1E293B"/>
                <w:sz w:val="18"/>
              </w:rPr>
              <w:t>Where are cost, compute, elapsed runtime, final output, and disposition retained?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0368"/>
            <w:shd w:fill="ECFEFA"/>
            <w:tcBorders>
              <w:top w:val="single" w:sz="5" w:color="34D1BF"/>
              <w:left w:val="single" w:sz="5" w:color="34D1BF"/>
              <w:bottom w:val="single" w:sz="5" w:color="34D1BF"/>
              <w:right w:val="single" w:sz="5" w:color="34D1BF"/>
              <w:insideH w:val="single" w:sz="5" w:color="34D1BF"/>
              <w:insideV w:val="single" w:sz="5" w:color="34D1BF"/>
            </w:tcBorders>
            <w:tcMar>
              <w:top w:w="110" w:type="dxa"/>
              <w:start w:w="150" w:type="dxa"/>
              <w:bottom w:w="150" w:type="dxa"/>
              <w:end w:w="150" w:type="dxa"/>
            </w:tcMar>
          </w:tcPr>
          <w:p>
            <w:r>
              <w:rPr>
                <w:rFonts w:ascii="Avenir Next" w:hAnsi="Avenir Next"/>
                <w:b/>
                <w:color w:val="0B1220"/>
                <w:sz w:val="18"/>
              </w:rPr>
              <w:t>Evidence location and retention period</w:t>
            </w:r>
          </w:p>
          <w:p>
            <w:pPr>
              <w:spacing w:after="20"/>
            </w:pPr>
            <w:r>
              <w:rPr>
                <w:color w:val="A7DCD5"/>
                <w:sz w:val="16"/>
              </w:rPr>
              <w:t>________________________________________________________________________________</w:t>
            </w:r>
          </w:p>
          <w:p>
            <w:pPr>
              <w:spacing w:after="20"/>
            </w:pPr>
            <w:r>
              <w:rPr>
                <w:color w:val="A7DCD5"/>
                <w:sz w:val="16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QuestionHeading"/>
        <w:keepNext/>
      </w:pPr>
      <w:r>
        <w:rPr>
          <w:color w:val="0B1220"/>
        </w:rPr>
        <w:t>06  Stop patterns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cantSplit/>
        </w:trPr>
        <w:tc>
          <w:tcPr>
            <w:tcW w:type="dxa" w:w="10368"/>
            <w:shd w:fill="F8FAFC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110" w:type="dxa"/>
              <w:start w:w="150" w:type="dxa"/>
              <w:bottom w:w="150" w:type="dxa"/>
              <w:end w:w="150" w:type="dxa"/>
            </w:tcMar>
          </w:tcPr>
          <w:p>
            <w:pPr>
              <w:spacing w:after="100"/>
            </w:pPr>
            <w:r>
              <w:rPr>
                <w:rFonts w:ascii="Avenir Next" w:hAnsi="Avenir Next"/>
                <w:b/>
                <w:color w:val="1E293B"/>
                <w:sz w:val="18"/>
              </w:rPr>
              <w:t>Which signals trigger a stop: repeated denial, unexpected destination, privilege change, budget spike, objective drift, evidence gap, or contact with a non-test system?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0368"/>
            <w:shd w:fill="F8FAFC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110" w:type="dxa"/>
              <w:start w:w="150" w:type="dxa"/>
              <w:bottom w:w="150" w:type="dxa"/>
              <w:end w:w="150" w:type="dxa"/>
            </w:tcMar>
          </w:tcPr>
          <w:p>
            <w:pPr>
              <w:spacing w:after="100"/>
            </w:pPr>
            <w:r>
              <w:rPr>
                <w:rFonts w:ascii="Avenir Next" w:hAnsi="Avenir Next"/>
                <w:b/>
                <w:color w:val="1E293B"/>
                <w:sz w:val="18"/>
              </w:rPr>
              <w:t>What response happens automatically before a human arrives?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QuestionHeading"/>
        <w:keepNext/>
      </w:pPr>
      <w:r>
        <w:rPr>
          <w:color w:val="0B1220"/>
        </w:rPr>
        <w:t>07  Independent stop authority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cantSplit/>
          <w:trHeight w:val="979" w:hRule="atLeast"/>
        </w:trPr>
        <w:tc>
          <w:tcPr>
            <w:tcW w:type="dxa" w:w="10368"/>
            <w:shd w:fill="F8FAFC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110" w:type="dxa"/>
              <w:start w:w="150" w:type="dxa"/>
              <w:bottom w:w="150" w:type="dxa"/>
              <w:end w:w="150" w:type="dxa"/>
            </w:tcMar>
          </w:tcPr>
          <w:p>
            <w:pPr>
              <w:spacing w:after="100"/>
            </w:pPr>
            <w:r>
              <w:rPr>
                <w:rFonts w:ascii="Avenir Next" w:hAnsi="Avenir Next"/>
                <w:b/>
                <w:color w:val="1E293B"/>
                <w:sz w:val="18"/>
              </w:rPr>
              <w:t>Who owns the stop mechanism?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</w:tc>
      </w:tr>
      <w:tr>
        <w:trPr>
          <w:cantSplit/>
          <w:trHeight w:val="979" w:hRule="atLeast"/>
        </w:trPr>
        <w:tc>
          <w:tcPr>
            <w:tcW w:type="dxa" w:w="10368"/>
            <w:shd w:fill="F8FAFC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110" w:type="dxa"/>
              <w:start w:w="150" w:type="dxa"/>
              <w:bottom w:w="150" w:type="dxa"/>
              <w:end w:w="150" w:type="dxa"/>
            </w:tcMar>
          </w:tcPr>
          <w:p>
            <w:pPr>
              <w:spacing w:after="100"/>
            </w:pPr>
            <w:r>
              <w:rPr>
                <w:rFonts w:ascii="Avenir Next" w:hAnsi="Avenir Next"/>
                <w:b/>
                <w:color w:val="1E293B"/>
                <w:sz w:val="18"/>
              </w:rPr>
              <w:t>Can the agent override it?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</w:tc>
      </w:tr>
      <w:tr>
        <w:trPr>
          <w:cantSplit/>
          <w:trHeight w:val="979" w:hRule="atLeast"/>
        </w:trPr>
        <w:tc>
          <w:tcPr>
            <w:tcW w:type="dxa" w:w="10368"/>
            <w:shd w:fill="F8FAFC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110" w:type="dxa"/>
              <w:start w:w="150" w:type="dxa"/>
              <w:bottom w:w="150" w:type="dxa"/>
              <w:end w:w="150" w:type="dxa"/>
            </w:tcMar>
          </w:tcPr>
          <w:p>
            <w:pPr>
              <w:spacing w:after="100"/>
            </w:pPr>
            <w:r>
              <w:rPr>
                <w:rFonts w:ascii="Avenir Next" w:hAnsi="Avenir Next"/>
                <w:b/>
                <w:color w:val="1E293B"/>
                <w:sz w:val="18"/>
              </w:rPr>
              <w:t>When was it last tested, and what happened?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</w:tc>
      </w:tr>
      <w:tr>
        <w:trPr>
          <w:cantSplit/>
          <w:trHeight w:val="979" w:hRule="atLeast"/>
        </w:trPr>
        <w:tc>
          <w:tcPr>
            <w:tcW w:type="dxa" w:w="10368"/>
            <w:shd w:fill="ECFEFA"/>
            <w:tcBorders>
              <w:top w:val="single" w:sz="5" w:color="34D1BF"/>
              <w:left w:val="single" w:sz="5" w:color="34D1BF"/>
              <w:bottom w:val="single" w:sz="5" w:color="34D1BF"/>
              <w:right w:val="single" w:sz="5" w:color="34D1BF"/>
              <w:insideH w:val="single" w:sz="5" w:color="34D1BF"/>
              <w:insideV w:val="single" w:sz="5" w:color="34D1BF"/>
            </w:tcBorders>
            <w:tcMar>
              <w:top w:w="110" w:type="dxa"/>
              <w:start w:w="150" w:type="dxa"/>
              <w:bottom w:w="150" w:type="dxa"/>
              <w:end w:w="150" w:type="dxa"/>
            </w:tcMar>
          </w:tcPr>
          <w:p>
            <w:r>
              <w:rPr>
                <w:rFonts w:ascii="Avenir Next" w:hAnsi="Avenir Next"/>
                <w:b/>
                <w:color w:val="0B1220"/>
                <w:sz w:val="18"/>
              </w:rPr>
              <w:t>Escalation path if the stop mechanism fails</w:t>
            </w:r>
          </w:p>
          <w:p>
            <w:pPr>
              <w:spacing w:after="20"/>
            </w:pPr>
            <w:r>
              <w:rPr>
                <w:color w:val="A7DCD5"/>
                <w:sz w:val="16"/>
              </w:rPr>
              <w:t>________________________________________________________________________________</w:t>
            </w:r>
          </w:p>
          <w:p>
            <w:pPr>
              <w:spacing w:after="20"/>
            </w:pPr>
            <w:r>
              <w:rPr>
                <w:color w:val="A7DCD5"/>
                <w:sz w:val="16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QuestionHeading"/>
        <w:keepNext/>
      </w:pPr>
      <w:r>
        <w:rPr>
          <w:color w:val="0B1220"/>
        </w:rPr>
        <w:t>08  Affected-party evidence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cantSplit/>
          <w:trHeight w:val="979" w:hRule="atLeast"/>
        </w:trPr>
        <w:tc>
          <w:tcPr>
            <w:tcW w:type="dxa" w:w="10368"/>
            <w:shd w:fill="F8FAFC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110" w:type="dxa"/>
              <w:start w:w="150" w:type="dxa"/>
              <w:bottom w:w="150" w:type="dxa"/>
              <w:end w:w="150" w:type="dxa"/>
            </w:tcMar>
          </w:tcPr>
          <w:p>
            <w:pPr>
              <w:spacing w:after="100"/>
            </w:pPr>
            <w:r>
              <w:rPr>
                <w:rFonts w:ascii="Avenir Next" w:hAnsi="Avenir Next"/>
                <w:b/>
                <w:color w:val="1E293B"/>
                <w:sz w:val="18"/>
              </w:rPr>
              <w:t>Who preserves evidence and coordinates containment if another party is touched?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</w:tc>
      </w:tr>
      <w:tr>
        <w:trPr>
          <w:cantSplit/>
          <w:trHeight w:val="979" w:hRule="atLeast"/>
        </w:trPr>
        <w:tc>
          <w:tcPr>
            <w:tcW w:type="dxa" w:w="10368"/>
            <w:shd w:fill="F8FAFC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110" w:type="dxa"/>
              <w:start w:w="150" w:type="dxa"/>
              <w:bottom w:w="150" w:type="dxa"/>
              <w:end w:w="150" w:type="dxa"/>
            </w:tcMar>
          </w:tcPr>
          <w:p>
            <w:pPr>
              <w:spacing w:after="100"/>
            </w:pPr>
            <w:r>
              <w:rPr>
                <w:rFonts w:ascii="Avenir Next" w:hAnsi="Avenir Next"/>
                <w:b/>
                <w:color w:val="1E293B"/>
                <w:sz w:val="18"/>
              </w:rPr>
              <w:t>Who evaluates impact, handles notice, and records remediation?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</w:tc>
      </w:tr>
      <w:tr>
        <w:trPr>
          <w:cantSplit/>
          <w:trHeight w:val="979" w:hRule="atLeast"/>
        </w:trPr>
        <w:tc>
          <w:tcPr>
            <w:tcW w:type="dxa" w:w="10368"/>
            <w:shd w:fill="F8FAFC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110" w:type="dxa"/>
              <w:start w:w="150" w:type="dxa"/>
              <w:bottom w:w="150" w:type="dxa"/>
              <w:end w:w="150" w:type="dxa"/>
            </w:tcMar>
          </w:tcPr>
          <w:p>
            <w:pPr>
              <w:spacing w:after="100"/>
            </w:pPr>
            <w:r>
              <w:rPr>
                <w:rFonts w:ascii="Avenir Next" w:hAnsi="Avenir Next"/>
                <w:b/>
                <w:color w:val="1E293B"/>
                <w:sz w:val="18"/>
              </w:rPr>
              <w:t>What defensive-analysis fallback is approved if the primary model refuses the evidence?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pPr>
        <w:pStyle w:val="QuestionHeading"/>
        <w:keepNext/>
        <w:pageBreakBefore/>
      </w:pPr>
      <w:r>
        <w:rPr>
          <w:color w:val="0B1220"/>
        </w:rPr>
        <w:t>09  Final disposition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cantSplit/>
        </w:trPr>
        <w:tc>
          <w:tcPr>
            <w:tcW w:type="dxa" w:w="10368"/>
            <w:shd w:fill="F8FAFC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110" w:type="dxa"/>
              <w:start w:w="150" w:type="dxa"/>
              <w:bottom w:w="150" w:type="dxa"/>
              <w:end w:w="150" w:type="dxa"/>
            </w:tcMar>
          </w:tcPr>
          <w:p>
            <w:pPr>
              <w:spacing w:after="100"/>
            </w:pPr>
            <w:r>
              <w:rPr>
                <w:rFonts w:ascii="Avenir Next" w:hAnsi="Avenir Next"/>
                <w:b/>
                <w:color w:val="1E293B"/>
                <w:sz w:val="18"/>
              </w:rPr>
              <w:t>Select one: accepted / rejected / contained / rolled back / remediated / still under investigation.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0368"/>
            <w:shd w:fill="F8FAFC"/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  <w:tcMar>
              <w:top w:w="110" w:type="dxa"/>
              <w:start w:w="150" w:type="dxa"/>
              <w:bottom w:w="150" w:type="dxa"/>
              <w:end w:w="150" w:type="dxa"/>
            </w:tcMar>
          </w:tcPr>
          <w:p>
            <w:pPr>
              <w:spacing w:after="100"/>
            </w:pPr>
            <w:r>
              <w:rPr>
                <w:rFonts w:ascii="Avenir Next" w:hAnsi="Avenir Next"/>
                <w:b/>
                <w:color w:val="1E293B"/>
                <w:sz w:val="18"/>
              </w:rPr>
              <w:t>Who owns the decision?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  <w:p>
            <w:pPr>
              <w:spacing w:after="20"/>
            </w:pPr>
            <w:r>
              <w:rPr>
                <w:color w:val="CBD5E1"/>
                <w:sz w:val="16"/>
              </w:rPr>
              <w:t>________________________________________________________________________________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0368"/>
            <w:shd w:fill="ECFEFA"/>
            <w:tcBorders>
              <w:top w:val="single" w:sz="5" w:color="34D1BF"/>
              <w:left w:val="single" w:sz="5" w:color="34D1BF"/>
              <w:bottom w:val="single" w:sz="5" w:color="34D1BF"/>
              <w:right w:val="single" w:sz="5" w:color="34D1BF"/>
              <w:insideH w:val="single" w:sz="5" w:color="34D1BF"/>
              <w:insideV w:val="single" w:sz="5" w:color="34D1BF"/>
            </w:tcBorders>
            <w:tcMar>
              <w:top w:w="110" w:type="dxa"/>
              <w:start w:w="150" w:type="dxa"/>
              <w:bottom w:w="150" w:type="dxa"/>
              <w:end w:w="150" w:type="dxa"/>
            </w:tcMar>
          </w:tcPr>
          <w:p>
            <w:r>
              <w:rPr>
                <w:rFonts w:ascii="Avenir Next" w:hAnsi="Avenir Next"/>
                <w:b/>
                <w:color w:val="0B1220"/>
                <w:sz w:val="18"/>
              </w:rPr>
              <w:t>Evidence supporting the disposition</w:t>
            </w:r>
          </w:p>
          <w:p>
            <w:pPr>
              <w:spacing w:after="20"/>
            </w:pPr>
            <w:r>
              <w:rPr>
                <w:color w:val="A7DCD5"/>
                <w:sz w:val="16"/>
              </w:rPr>
              <w:t>________________________________________________________________________________</w:t>
            </w:r>
          </w:p>
          <w:p>
            <w:pPr>
              <w:spacing w:after="20"/>
            </w:pPr>
            <w:r>
              <w:rPr>
                <w:color w:val="A7DCD5"/>
                <w:sz w:val="16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Three-gate control check</w:t>
      </w:r>
    </w:p>
    <w:p>
      <w:pPr>
        <w:spacing w:after="180"/>
      </w:pPr>
      <w:r>
        <w:t>A workflow does not pass because one action looked compliant. It passes only when the policy, the whole trajectory, and the containment boundary all hold.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44"/>
        <w:gridCol w:w="5112"/>
        <w:gridCol w:w="1656"/>
        <w:gridCol w:w="1584"/>
      </w:tblGrid>
      <w:tr>
        <w:trPr>
          <w:tblHeader w:val="true"/>
        </w:trPr>
        <w:tc>
          <w:tcPr>
            <w:tcW w:type="dxa" w:w="2592"/>
            <w:shd w:fill="0B12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5" w:color="0B1220"/>
              <w:left w:val="single" w:sz="5" w:color="0B1220"/>
              <w:bottom w:val="single" w:sz="5" w:color="0B1220"/>
              <w:right w:val="single" w:sz="5" w:color="0B1220"/>
              <w:insideH w:val="single" w:sz="5" w:color="0B1220"/>
              <w:insideV w:val="single" w:sz="5" w:color="0B1220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/>
                <w:color w:val="FFFFFF"/>
                <w:sz w:val="16"/>
              </w:rPr>
              <w:t>GATE</w:t>
            </w:r>
          </w:p>
        </w:tc>
        <w:tc>
          <w:tcPr>
            <w:tcW w:type="dxa" w:w="2592"/>
            <w:shd w:fill="0B12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5" w:color="0B1220"/>
              <w:left w:val="single" w:sz="5" w:color="0B1220"/>
              <w:bottom w:val="single" w:sz="5" w:color="0B1220"/>
              <w:right w:val="single" w:sz="5" w:color="0B1220"/>
              <w:insideH w:val="single" w:sz="5" w:color="0B1220"/>
              <w:insideV w:val="single" w:sz="5" w:color="0B1220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/>
                <w:color w:val="FFFFFF"/>
                <w:sz w:val="16"/>
              </w:rPr>
              <w:t>REQUIRED EVIDENCE</w:t>
            </w:r>
          </w:p>
        </w:tc>
        <w:tc>
          <w:tcPr>
            <w:tcW w:type="dxa" w:w="2592"/>
            <w:shd w:fill="0B12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5" w:color="0B1220"/>
              <w:left w:val="single" w:sz="5" w:color="0B1220"/>
              <w:bottom w:val="single" w:sz="5" w:color="0B1220"/>
              <w:right w:val="single" w:sz="5" w:color="0B1220"/>
              <w:insideH w:val="single" w:sz="5" w:color="0B1220"/>
              <w:insideV w:val="single" w:sz="5" w:color="0B1220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2592"/>
            <w:shd w:fill="0B12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5" w:color="0B1220"/>
              <w:left w:val="single" w:sz="5" w:color="0B1220"/>
              <w:bottom w:val="single" w:sz="5" w:color="0B1220"/>
              <w:right w:val="single" w:sz="5" w:color="0B1220"/>
              <w:insideH w:val="single" w:sz="5" w:color="0B1220"/>
              <w:insideV w:val="single" w:sz="5" w:color="0B1220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/>
                <w:color w:val="FFFFFF"/>
                <w:sz w:val="16"/>
              </w:rPr>
              <w:t>STATUS</w:t>
            </w:r>
          </w:p>
        </w:tc>
      </w:tr>
      <w:tr>
        <w:trPr>
          <w:cantSplit/>
        </w:trPr>
        <w:tc>
          <w:tcPr>
            <w:tcW w:type="dxa" w:w="1944"/>
            <w:shd w:fill="FFFFFF"/>
            <w:vAlign w:val="center"/>
            <w:tcMar>
              <w:top w:w="150" w:type="dxa"/>
              <w:start w:w="110" w:type="dxa"/>
              <w:bottom w:w="150" w:type="dxa"/>
              <w:end w:w="110" w:type="dxa"/>
            </w:tcMar>
            <w:tcBorders>
              <w:top w:val="single" w:sz="5" w:color="E2E8F0"/>
              <w:left w:val="single" w:sz="5" w:color="E2E8F0"/>
              <w:bottom w:val="single" w:sz="5" w:color="E2E8F0"/>
              <w:right w:val="single" w:sz="5" w:color="E2E8F0"/>
              <w:insideH w:val="single" w:sz="5" w:color="E2E8F0"/>
              <w:insideV w:val="single" w:sz="5" w:color="E2E8F0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/>
                <w:color w:val="0B1220"/>
                <w:sz w:val="17"/>
              </w:rPr>
              <w:t>Per-action policy</w:t>
            </w:r>
          </w:p>
        </w:tc>
        <w:tc>
          <w:tcPr>
            <w:tcW w:type="dxa" w:w="5112"/>
            <w:shd w:fill="FFFFFF"/>
            <w:vAlign w:val="center"/>
            <w:tcMar>
              <w:top w:w="150" w:type="dxa"/>
              <w:start w:w="110" w:type="dxa"/>
              <w:bottom w:w="150" w:type="dxa"/>
              <w:end w:w="110" w:type="dxa"/>
            </w:tcMar>
            <w:tcBorders>
              <w:top w:val="single" w:sz="5" w:color="E2E8F0"/>
              <w:left w:val="single" w:sz="5" w:color="E2E8F0"/>
              <w:bottom w:val="single" w:sz="5" w:color="E2E8F0"/>
              <w:right w:val="single" w:sz="5" w:color="E2E8F0"/>
              <w:insideH w:val="single" w:sz="5" w:color="E2E8F0"/>
              <w:insideV w:val="single" w:sz="5" w:color="E2E8F0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 w:val="0"/>
                <w:color w:val="0B1220"/>
                <w:sz w:val="17"/>
              </w:rPr>
              <w:t>Objective, identity, tool, data, and environment policy decision</w:t>
            </w:r>
          </w:p>
        </w:tc>
        <w:tc>
          <w:tcPr>
            <w:tcW w:type="dxa" w:w="1656"/>
            <w:shd w:fill="FFFFFF"/>
            <w:vAlign w:val="center"/>
            <w:tcMar>
              <w:top w:w="150" w:type="dxa"/>
              <w:start w:w="110" w:type="dxa"/>
              <w:bottom w:w="150" w:type="dxa"/>
              <w:end w:w="110" w:type="dxa"/>
            </w:tcMar>
            <w:tcBorders>
              <w:top w:val="single" w:sz="5" w:color="E2E8F0"/>
              <w:left w:val="single" w:sz="5" w:color="E2E8F0"/>
              <w:bottom w:val="single" w:sz="5" w:color="E2E8F0"/>
              <w:right w:val="single" w:sz="5" w:color="E2E8F0"/>
              <w:insideH w:val="single" w:sz="5" w:color="E2E8F0"/>
              <w:insideV w:val="single" w:sz="5" w:color="E2E8F0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 w:val="0"/>
                <w:color w:val="0B1220"/>
                <w:sz w:val="17"/>
              </w:rPr>
            </w:r>
          </w:p>
        </w:tc>
        <w:tc>
          <w:tcPr>
            <w:tcW w:type="dxa" w:w="1584"/>
            <w:shd w:fill="FFFFFF"/>
            <w:vAlign w:val="center"/>
            <w:tcMar>
              <w:top w:w="150" w:type="dxa"/>
              <w:start w:w="110" w:type="dxa"/>
              <w:bottom w:w="150" w:type="dxa"/>
              <w:end w:w="110" w:type="dxa"/>
            </w:tcMar>
            <w:tcBorders>
              <w:top w:val="single" w:sz="5" w:color="E2E8F0"/>
              <w:left w:val="single" w:sz="5" w:color="E2E8F0"/>
              <w:bottom w:val="single" w:sz="5" w:color="E2E8F0"/>
              <w:right w:val="single" w:sz="5" w:color="E2E8F0"/>
              <w:insideH w:val="single" w:sz="5" w:color="E2E8F0"/>
              <w:insideV w:val="single" w:sz="5" w:color="E2E8F0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 w:val="0"/>
                <w:color w:val="0B1220"/>
                <w:sz w:val="17"/>
              </w:rPr>
              <w:t>□ G  □ Y  □ R</w:t>
            </w:r>
          </w:p>
        </w:tc>
      </w:tr>
      <w:tr>
        <w:trPr>
          <w:cantSplit/>
        </w:trPr>
        <w:tc>
          <w:tcPr>
            <w:tcW w:type="dxa" w:w="1944"/>
            <w:shd w:fill="F8FAFC"/>
            <w:vAlign w:val="center"/>
            <w:tcMar>
              <w:top w:w="150" w:type="dxa"/>
              <w:start w:w="110" w:type="dxa"/>
              <w:bottom w:w="150" w:type="dxa"/>
              <w:end w:w="110" w:type="dxa"/>
            </w:tcMar>
            <w:tcBorders>
              <w:top w:val="single" w:sz="5" w:color="E2E8F0"/>
              <w:left w:val="single" w:sz="5" w:color="E2E8F0"/>
              <w:bottom w:val="single" w:sz="5" w:color="E2E8F0"/>
              <w:right w:val="single" w:sz="5" w:color="E2E8F0"/>
              <w:insideH w:val="single" w:sz="5" w:color="E2E8F0"/>
              <w:insideV w:val="single" w:sz="5" w:color="E2E8F0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/>
                <w:color w:val="0B1220"/>
                <w:sz w:val="17"/>
              </w:rPr>
              <w:t>Whole-trajectory monitoring</w:t>
            </w:r>
          </w:p>
        </w:tc>
        <w:tc>
          <w:tcPr>
            <w:tcW w:type="dxa" w:w="5112"/>
            <w:shd w:fill="F8FAFC"/>
            <w:vAlign w:val="center"/>
            <w:tcMar>
              <w:top w:w="150" w:type="dxa"/>
              <w:start w:w="110" w:type="dxa"/>
              <w:bottom w:w="150" w:type="dxa"/>
              <w:end w:w="110" w:type="dxa"/>
            </w:tcMar>
            <w:tcBorders>
              <w:top w:val="single" w:sz="5" w:color="E2E8F0"/>
              <w:left w:val="single" w:sz="5" w:color="E2E8F0"/>
              <w:bottom w:val="single" w:sz="5" w:color="E2E8F0"/>
              <w:right w:val="single" w:sz="5" w:color="E2E8F0"/>
              <w:insideH w:val="single" w:sz="5" w:color="E2E8F0"/>
              <w:insideV w:val="single" w:sz="5" w:color="E2E8F0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 w:val="0"/>
                <w:color w:val="0B1220"/>
                <w:sz w:val="17"/>
              </w:rPr>
              <w:t>Sequence-level anomaly detection and reconstructable trace</w:t>
            </w:r>
          </w:p>
        </w:tc>
        <w:tc>
          <w:tcPr>
            <w:tcW w:type="dxa" w:w="1656"/>
            <w:shd w:fill="F8FAFC"/>
            <w:vAlign w:val="center"/>
            <w:tcMar>
              <w:top w:w="150" w:type="dxa"/>
              <w:start w:w="110" w:type="dxa"/>
              <w:bottom w:w="150" w:type="dxa"/>
              <w:end w:w="110" w:type="dxa"/>
            </w:tcMar>
            <w:tcBorders>
              <w:top w:val="single" w:sz="5" w:color="E2E8F0"/>
              <w:left w:val="single" w:sz="5" w:color="E2E8F0"/>
              <w:bottom w:val="single" w:sz="5" w:color="E2E8F0"/>
              <w:right w:val="single" w:sz="5" w:color="E2E8F0"/>
              <w:insideH w:val="single" w:sz="5" w:color="E2E8F0"/>
              <w:insideV w:val="single" w:sz="5" w:color="E2E8F0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 w:val="0"/>
                <w:color w:val="0B1220"/>
                <w:sz w:val="17"/>
              </w:rPr>
            </w:r>
          </w:p>
        </w:tc>
        <w:tc>
          <w:tcPr>
            <w:tcW w:type="dxa" w:w="1584"/>
            <w:shd w:fill="F8FAFC"/>
            <w:vAlign w:val="center"/>
            <w:tcMar>
              <w:top w:w="150" w:type="dxa"/>
              <w:start w:w="110" w:type="dxa"/>
              <w:bottom w:w="150" w:type="dxa"/>
              <w:end w:w="110" w:type="dxa"/>
            </w:tcMar>
            <w:tcBorders>
              <w:top w:val="single" w:sz="5" w:color="E2E8F0"/>
              <w:left w:val="single" w:sz="5" w:color="E2E8F0"/>
              <w:bottom w:val="single" w:sz="5" w:color="E2E8F0"/>
              <w:right w:val="single" w:sz="5" w:color="E2E8F0"/>
              <w:insideH w:val="single" w:sz="5" w:color="E2E8F0"/>
              <w:insideV w:val="single" w:sz="5" w:color="E2E8F0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 w:val="0"/>
                <w:color w:val="0B1220"/>
                <w:sz w:val="17"/>
              </w:rPr>
              <w:t>□ G  □ Y  □ R</w:t>
            </w:r>
          </w:p>
        </w:tc>
      </w:tr>
      <w:tr>
        <w:trPr>
          <w:cantSplit/>
        </w:trPr>
        <w:tc>
          <w:tcPr>
            <w:tcW w:type="dxa" w:w="1944"/>
            <w:shd w:fill="FFFFFF"/>
            <w:vAlign w:val="center"/>
            <w:tcMar>
              <w:top w:w="150" w:type="dxa"/>
              <w:start w:w="110" w:type="dxa"/>
              <w:bottom w:w="150" w:type="dxa"/>
              <w:end w:w="110" w:type="dxa"/>
            </w:tcMar>
            <w:tcBorders>
              <w:top w:val="single" w:sz="5" w:color="E2E8F0"/>
              <w:left w:val="single" w:sz="5" w:color="E2E8F0"/>
              <w:bottom w:val="single" w:sz="5" w:color="E2E8F0"/>
              <w:right w:val="single" w:sz="5" w:color="E2E8F0"/>
              <w:insideH w:val="single" w:sz="5" w:color="E2E8F0"/>
              <w:insideV w:val="single" w:sz="5" w:color="E2E8F0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/>
                <w:color w:val="0B1220"/>
                <w:sz w:val="17"/>
              </w:rPr>
              <w:t>Hard containment</w:t>
            </w:r>
          </w:p>
        </w:tc>
        <w:tc>
          <w:tcPr>
            <w:tcW w:type="dxa" w:w="5112"/>
            <w:shd w:fill="FFFFFF"/>
            <w:vAlign w:val="center"/>
            <w:tcMar>
              <w:top w:w="150" w:type="dxa"/>
              <w:start w:w="110" w:type="dxa"/>
              <w:bottom w:w="150" w:type="dxa"/>
              <w:end w:w="110" w:type="dxa"/>
            </w:tcMar>
            <w:tcBorders>
              <w:top w:val="single" w:sz="5" w:color="E2E8F0"/>
              <w:left w:val="single" w:sz="5" w:color="E2E8F0"/>
              <w:bottom w:val="single" w:sz="5" w:color="E2E8F0"/>
              <w:right w:val="single" w:sz="5" w:color="E2E8F0"/>
              <w:insideH w:val="single" w:sz="5" w:color="E2E8F0"/>
              <w:insideV w:val="single" w:sz="5" w:color="E2E8F0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 w:val="0"/>
                <w:color w:val="0B1220"/>
                <w:sz w:val="17"/>
              </w:rPr>
              <w:t>Network, credential, environment, compute, time, and stop controls</w:t>
            </w:r>
          </w:p>
        </w:tc>
        <w:tc>
          <w:tcPr>
            <w:tcW w:type="dxa" w:w="1656"/>
            <w:shd w:fill="FFFFFF"/>
            <w:vAlign w:val="center"/>
            <w:tcMar>
              <w:top w:w="150" w:type="dxa"/>
              <w:start w:w="110" w:type="dxa"/>
              <w:bottom w:w="150" w:type="dxa"/>
              <w:end w:w="110" w:type="dxa"/>
            </w:tcMar>
            <w:tcBorders>
              <w:top w:val="single" w:sz="5" w:color="E2E8F0"/>
              <w:left w:val="single" w:sz="5" w:color="E2E8F0"/>
              <w:bottom w:val="single" w:sz="5" w:color="E2E8F0"/>
              <w:right w:val="single" w:sz="5" w:color="E2E8F0"/>
              <w:insideH w:val="single" w:sz="5" w:color="E2E8F0"/>
              <w:insideV w:val="single" w:sz="5" w:color="E2E8F0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 w:val="0"/>
                <w:color w:val="0B1220"/>
                <w:sz w:val="17"/>
              </w:rPr>
            </w:r>
          </w:p>
        </w:tc>
        <w:tc>
          <w:tcPr>
            <w:tcW w:type="dxa" w:w="1584"/>
            <w:shd w:fill="FFFFFF"/>
            <w:vAlign w:val="center"/>
            <w:tcMar>
              <w:top w:w="150" w:type="dxa"/>
              <w:start w:w="110" w:type="dxa"/>
              <w:bottom w:w="150" w:type="dxa"/>
              <w:end w:w="110" w:type="dxa"/>
            </w:tcMar>
            <w:tcBorders>
              <w:top w:val="single" w:sz="5" w:color="E2E8F0"/>
              <w:left w:val="single" w:sz="5" w:color="E2E8F0"/>
              <w:bottom w:val="single" w:sz="5" w:color="E2E8F0"/>
              <w:right w:val="single" w:sz="5" w:color="E2E8F0"/>
              <w:insideH w:val="single" w:sz="5" w:color="E2E8F0"/>
              <w:insideV w:val="single" w:sz="5" w:color="E2E8F0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 w:val="0"/>
                <w:color w:val="0B1220"/>
                <w:sz w:val="17"/>
              </w:rPr>
              <w:t>□ G  □ Y  □ R</w:t>
            </w:r>
          </w:p>
        </w:tc>
      </w:tr>
    </w:tbl>
    <w:p>
      <w:pPr>
        <w:pStyle w:val="Heading1"/>
      </w:pPr>
      <w:r>
        <w:t>Workflow score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0"/>
        <w:gridCol w:w="8640"/>
      </w:tblGrid>
      <w:tr>
        <w:tc>
          <w:tcPr>
            <w:tcW w:type="dxa" w:w="5184"/>
            <w:shd w:fill="34D1BF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5" w:color="34D1BF"/>
              <w:left w:val="single" w:sz="5" w:color="34D1BF"/>
              <w:bottom w:val="single" w:sz="5" w:color="34D1BF"/>
              <w:right w:val="single" w:sz="5" w:color="34D1BF"/>
              <w:insideH w:val="single" w:sz="5" w:color="34D1BF"/>
              <w:insideV w:val="single" w:sz="5" w:color="34D1B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venir Next" w:hAnsi="Avenir Next"/>
                <w:b/>
                <w:color w:val="FFFFFF"/>
                <w:sz w:val="17"/>
              </w:rPr>
              <w:t>GREEN</w:t>
            </w:r>
          </w:p>
        </w:tc>
        <w:tc>
          <w:tcPr>
            <w:tcW w:type="dxa" w:w="5184"/>
            <w:shd w:fill="F8FAFC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5" w:color="E2E8F0"/>
              <w:left w:val="single" w:sz="5" w:color="E2E8F0"/>
              <w:bottom w:val="single" w:sz="5" w:color="E2E8F0"/>
              <w:right w:val="single" w:sz="5" w:color="E2E8F0"/>
              <w:insideH w:val="single" w:sz="5" w:color="E2E8F0"/>
              <w:insideV w:val="single" w:sz="5" w:color="E2E8F0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 w:val="0"/>
                <w:color w:val="0B1220"/>
                <w:sz w:val="18"/>
              </w:rPr>
              <w:t>Objective bounded, environment hard-contained, trajectory visible, and stop authority tested.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0"/>
        <w:gridCol w:w="8640"/>
      </w:tblGrid>
      <w:tr>
        <w:tc>
          <w:tcPr>
            <w:tcW w:type="dxa" w:w="5184"/>
            <w:shd w:fill="FF7A1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5" w:color="FF7A18"/>
              <w:left w:val="single" w:sz="5" w:color="FF7A18"/>
              <w:bottom w:val="single" w:sz="5" w:color="FF7A18"/>
              <w:right w:val="single" w:sz="5" w:color="FF7A18"/>
              <w:insideH w:val="single" w:sz="5" w:color="FF7A18"/>
              <w:insideV w:val="single" w:sz="5" w:color="FF7A18"/>
            </w:tcBorders>
          </w:tcPr>
          <w:p>
            <w:pPr>
              <w:spacing w:after="0"/>
              <w:jc w:val="center"/>
            </w:pPr>
            <w:r/>
            <w:r>
              <w:rPr>
                <w:rFonts w:ascii="Avenir Next" w:hAnsi="Avenir Next"/>
                <w:b/>
                <w:color w:val="FFFFFF"/>
                <w:sz w:val="17"/>
              </w:rPr>
              <w:t>YELLOW</w:t>
            </w:r>
          </w:p>
        </w:tc>
        <w:tc>
          <w:tcPr>
            <w:tcW w:type="dxa" w:w="5184"/>
            <w:shd w:fill="F8FAFC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5" w:color="E2E8F0"/>
              <w:left w:val="single" w:sz="5" w:color="E2E8F0"/>
              <w:bottom w:val="single" w:sz="5" w:color="E2E8F0"/>
              <w:right w:val="single" w:sz="5" w:color="E2E8F0"/>
              <w:insideH w:val="single" w:sz="5" w:color="E2E8F0"/>
              <w:insideV w:val="single" w:sz="5" w:color="E2E8F0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 w:val="0"/>
                <w:color w:val="0B1220"/>
                <w:sz w:val="18"/>
              </w:rPr>
              <w:t>Action policy exists, but the full path cannot be reconstructed. Keep the workflow supervised.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0"/>
        <w:gridCol w:w="8640"/>
      </w:tblGrid>
      <w:tr>
        <w:tc>
          <w:tcPr>
            <w:tcW w:type="dxa" w:w="5184"/>
            <w:shd w:fill="DC262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5" w:color="DC2626"/>
              <w:left w:val="single" w:sz="5" w:color="DC2626"/>
              <w:bottom w:val="single" w:sz="5" w:color="DC2626"/>
              <w:right w:val="single" w:sz="5" w:color="DC2626"/>
              <w:insideH w:val="single" w:sz="5" w:color="DC2626"/>
              <w:insideV w:val="single" w:sz="5" w:color="DC2626"/>
            </w:tcBorders>
          </w:tcPr>
          <w:p>
            <w:pPr>
              <w:spacing w:after="0"/>
              <w:jc w:val="center"/>
            </w:pPr>
            <w:r/>
            <w:r>
              <w:rPr>
                <w:rFonts w:ascii="Avenir Next" w:hAnsi="Avenir Next"/>
                <w:b/>
                <w:color w:val="FFFFFF"/>
                <w:sz w:val="17"/>
              </w:rPr>
              <w:t>RED</w:t>
            </w:r>
          </w:p>
        </w:tc>
        <w:tc>
          <w:tcPr>
            <w:tcW w:type="dxa" w:w="5184"/>
            <w:shd w:fill="F8FAFC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5" w:color="E2E8F0"/>
              <w:left w:val="single" w:sz="5" w:color="E2E8F0"/>
              <w:bottom w:val="single" w:sz="5" w:color="E2E8F0"/>
              <w:right w:val="single" w:sz="5" w:color="E2E8F0"/>
              <w:insideH w:val="single" w:sz="5" w:color="E2E8F0"/>
              <w:insideV w:val="single" w:sz="5" w:color="E2E8F0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 w:val="0"/>
                <w:color w:val="0B1220"/>
                <w:sz w:val="18"/>
              </w:rPr>
              <w:t>Real tools, credentials, data, or networks are reachable without independent stop authority and usable evidence. Do not expand the workflow.</w:t>
            </w:r>
          </w:p>
        </w:tc>
      </w:tr>
    </w:tbl>
    <w:p>
      <w:pPr>
        <w:pStyle w:val="Heading1"/>
      </w:pPr>
      <w:r>
        <w:t>Decision record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0"/>
        <w:gridCol w:w="7848"/>
      </w:tblGrid>
      <w:tr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/>
                <w:color w:val="64748B"/>
                <w:sz w:val="16"/>
              </w:rPr>
              <w:t>FINAL SCORE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 w:val="0"/>
                <w:color w:val="0B1220"/>
                <w:sz w:val="18"/>
              </w:rPr>
              <w:t>green / yellow / red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0"/>
        <w:gridCol w:w="7848"/>
      </w:tblGrid>
      <w:tr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/>
                <w:color w:val="64748B"/>
                <w:sz w:val="16"/>
              </w:rPr>
              <w:t>DECISION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 w:val="0"/>
                <w:color w:val="0B1220"/>
                <w:sz w:val="18"/>
              </w:rPr>
              <w:t>expand / keep supervised / pause / remediate / retire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0"/>
        <w:gridCol w:w="7848"/>
      </w:tblGrid>
      <w:tr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/>
                <w:color w:val="64748B"/>
                <w:sz w:val="16"/>
              </w:rPr>
              <w:t>NEXT OWNER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 w:val="0"/>
                <w:color w:val="0B1220"/>
                <w:sz w:val="18"/>
              </w:rPr>
              <w:t>________________________________________________________________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0"/>
        <w:gridCol w:w="7848"/>
      </w:tblGrid>
      <w:tr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/>
                <w:color w:val="64748B"/>
                <w:sz w:val="16"/>
              </w:rPr>
              <w:t>NEXT EVIDENCE DUE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 w:val="0"/>
                <w:color w:val="0B1220"/>
                <w:sz w:val="18"/>
              </w:rPr>
              <w:t>________________________________________________________________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0"/>
        <w:gridCol w:w="7848"/>
      </w:tblGrid>
      <w:tr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/>
                <w:color w:val="64748B"/>
                <w:sz w:val="16"/>
              </w:rPr>
              <w:t>REVIEW DATE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4" w:color="E2E8F0"/>
              <w:left w:val="single" w:sz="4" w:color="E2E8F0"/>
              <w:bottom w:val="single" w:sz="4" w:color="E2E8F0"/>
              <w:right w:val="single" w:sz="4" w:color="E2E8F0"/>
              <w:insideH w:val="single" w:sz="4" w:color="E2E8F0"/>
              <w:insideV w:val="single" w:sz="4" w:color="E2E8F0"/>
            </w:tcBorders>
          </w:tcPr>
          <w:p>
            <w:pPr>
              <w:spacing w:after="0"/>
            </w:pPr>
            <w:r/>
            <w:r>
              <w:rPr>
                <w:rFonts w:ascii="Avenir Next" w:hAnsi="Avenir Next"/>
                <w:b w:val="0"/>
                <w:color w:val="0B1220"/>
                <w:sz w:val="18"/>
              </w:rPr>
              <w:t>________________________________________________________________</w:t>
            </w:r>
          </w:p>
        </w:tc>
      </w:tr>
    </w:tbl>
    <w:p>
      <w:pPr>
        <w:pStyle w:val="Heading2"/>
      </w:pPr>
      <w:r>
        <w:t>Operating rule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CFEFA"/>
            <w:tcBorders>
              <w:top w:val="single" w:sz="6" w:color="34D1BF"/>
              <w:left w:val="single" w:sz="6" w:color="34D1BF"/>
              <w:bottom w:val="single" w:sz="6" w:color="34D1BF"/>
              <w:right w:val="single" w:sz="6" w:color="34D1BF"/>
              <w:insideH w:val="single" w:sz="6" w:color="34D1BF"/>
              <w:insideV w:val="single" w:sz="6" w:color="34D1BF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venir Next" w:hAnsi="Avenir Next"/>
                <w:b/>
                <w:color w:val="0B1220"/>
                <w:sz w:val="22"/>
              </w:rPr>
              <w:t>If the path cannot be reconstructed, the result is not accepted work.</w:t>
            </w:r>
          </w:p>
        </w:tc>
      </w:tr>
    </w:tbl>
    <w:p>
      <w:pPr>
        <w:pStyle w:val="Heading2"/>
      </w:pPr>
      <w:r>
        <w:t>Sources and use</w:t>
      </w:r>
    </w:p>
    <w:p>
      <w:pPr>
        <w:pStyle w:val="ListBullet"/>
        <w:spacing w:after="40"/>
      </w:pPr>
      <w:r>
        <w:rPr>
          <w:sz w:val="17"/>
        </w:rPr>
        <w:t>OpenAI — openai.com/index/hugging-face-model-evaluation-security-incident/</w:t>
      </w:r>
    </w:p>
    <w:p>
      <w:pPr>
        <w:pStyle w:val="ListBullet"/>
        <w:spacing w:after="40"/>
      </w:pPr>
      <w:r>
        <w:rPr>
          <w:sz w:val="17"/>
        </w:rPr>
        <w:t>Hugging Face — huggingface.co/blog/security-incident-july-2026</w:t>
      </w:r>
    </w:p>
    <w:p>
      <w:pPr>
        <w:pStyle w:val="ListBullet"/>
        <w:spacing w:after="40"/>
      </w:pPr>
      <w:r>
        <w:rPr>
          <w:sz w:val="17"/>
        </w:rPr>
        <w:t>Episode home — michaelhbm.com/AiChangeDesk/</w:t>
      </w:r>
    </w:p>
    <w:p>
      <w:pPr>
        <w:spacing w:before="100"/>
      </w:pPr>
      <w:r>
        <w:rPr>
          <w:color w:val="64748B"/>
          <w:sz w:val="15"/>
        </w:rPr>
        <w:t>AI-assisted tools were used in parts of the research and production workflow. Final editorial judgment, risk posture, and release approval stayed human-led. This is operational guidance, not legal advice. These are my opinions and are not representative of any organization.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936" w:bottom="792" w:left="936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venir Next" w:hAnsi="Avenir Next"/>
        <w:color w:val="64748B"/>
        <w:sz w:val="15"/>
      </w:rPr>
      <w:t xml:space="preserve">EP038  •  The Receipt Is the Trajectory  • 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venir Next" w:hAnsi="Avenir Next"/>
        <w:b/>
        <w:color w:val="64748B"/>
        <w:sz w:val="15"/>
      </w:rPr>
      <w:t>AI CHANGE DESK  /  OPERATOR WORKSHEET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venir Next" w:hAnsi="Avenir Next"/>
      <w:color w:val="1E293B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20"/>
      <w:outlineLvl w:val="0"/>
    </w:pPr>
    <w:rPr>
      <w:rFonts w:asciiTheme="majorHAnsi" w:eastAsiaTheme="majorEastAsia" w:hAnsiTheme="majorHAnsi" w:cstheme="majorBidi" w:ascii="Avenir Next" w:hAnsi="Avenir Next"/>
      <w:b/>
      <w:bCs/>
      <w:color w:val="0B122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20"/>
      <w:outlineLvl w:val="1"/>
    </w:pPr>
    <w:rPr>
      <w:rFonts w:asciiTheme="majorHAnsi" w:eastAsiaTheme="majorEastAsia" w:hAnsiTheme="majorHAnsi" w:cstheme="majorBidi" w:ascii="Avenir Next" w:hAnsi="Avenir Next"/>
      <w:b/>
      <w:bCs/>
      <w:color w:val="0B122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160"/>
      <w:contextualSpacing/>
    </w:pPr>
    <w:rPr>
      <w:rFonts w:asciiTheme="majorHAnsi" w:eastAsiaTheme="majorEastAsia" w:hAnsiTheme="majorHAnsi" w:cstheme="majorBidi" w:ascii="Avenir Next" w:hAnsi="Avenir Next"/>
      <w:b/>
      <w:color w:val="0B1220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160" w:after="120"/>
    </w:pPr>
    <w:rPr>
      <w:rFonts w:asciiTheme="majorHAnsi" w:eastAsiaTheme="majorEastAsia" w:hAnsiTheme="majorHAnsi" w:cstheme="majorBidi" w:ascii="Avenir Next" w:hAnsi="Avenir Next"/>
      <w:b/>
      <w:i/>
      <w:iCs/>
      <w:color w:val="64748B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Heading">
    <w:name w:val="Question Heading"/>
    <w:pPr>
      <w:keepNext/>
      <w:spacing w:before="180" w:after="100"/>
    </w:pPr>
    <w:rPr>
      <w:rFonts w:ascii="Avenir Next" w:hAnsi="Avenir Next"/>
      <w:b/>
      <w:color w:val="0B1220"/>
      <w:sz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