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50"/>
      </w:pPr>
      <w:r>
        <w:rPr>
          <w:rFonts w:ascii="Helvetica" w:hAnsi="Helvetica" w:cs="Helvetica"/>
          <w:sz w:val="19"/>
          <w:sz-cs w:val="19"/>
          <w:b/>
          <w:color w:val="13645B"/>
        </w:rPr>
        <w:t xml:space="preserve">AI CHANGE DESK</w:t>
      </w:r>
      <w:r>
        <w:rPr>
          <w:rFonts w:ascii="Helvetica" w:hAnsi="Helvetica" w:cs="Helvetica"/>
          <w:sz w:val="19"/>
          <w:sz-cs w:val="19"/>
          <w:color w:val="13645B"/>
        </w:rPr>
        <w:t xml:space="preserve"/>
      </w:r>
    </w:p>
    <w:p>
      <w:pPr>
        <w:jc w:val="center"/>
        <w:spacing w:after="60"/>
      </w:pPr>
      <w:r>
        <w:rPr>
          <w:rFonts w:ascii="Helvetica" w:hAnsi="Helvetica" w:cs="Helvetica"/>
          <w:sz w:val="22"/>
          <w:sz-cs w:val="22"/>
          <w:b/>
          <w:color w:val="C2560E"/>
        </w:rPr>
        <w:t xml:space="preserve">EP037 PRACTITIONER CHEAT SHEET</w:t>
      </w:r>
      <w:r>
        <w:rPr>
          <w:rFonts w:ascii="Helvetica" w:hAnsi="Helvetica" w:cs="Helvetica"/>
          <w:sz w:val="22"/>
          <w:sz-cs w:val="22"/>
          <w:color w:val="C2560E"/>
        </w:rPr>
        <w:t xml:space="preserve"/>
      </w:r>
    </w:p>
    <w:p>
      <w:pPr>
        <w:jc w:val="center"/>
        <w:spacing w:after="80"/>
      </w:pPr>
      <w:r>
        <w:rPr>
          <w:rFonts w:ascii="Helvetica" w:hAnsi="Helvetica" w:cs="Helvetica"/>
          <w:sz w:val="38"/>
          <w:sz-cs w:val="38"/>
          <w:b/>
          <w:color w:val="0F172A"/>
        </w:rPr>
        <w:t xml:space="preserve">Work Agent Receipt Check</w:t>
      </w:r>
      <w:r>
        <w:rPr>
          <w:rFonts w:ascii="Helvetica" w:hAnsi="Helvetica" w:cs="Helvetica"/>
          <w:sz w:val="38"/>
          <w:sz-cs w:val="38"/>
          <w:color w:val="0F172A"/>
        </w:rPr>
        <w:t xml:space="preserve"/>
      </w:r>
    </w:p>
    <w:p>
      <w:pPr>
        <w:jc w:val="center"/>
        <w:spacing w:after="140"/>
      </w:pPr>
      <w:r>
        <w:rPr>
          <w:rFonts w:ascii="Helvetica" w:hAnsi="Helvetica" w:cs="Helvetica"/>
          <w:sz w:val="20"/>
          <w:sz-cs w:val="20"/>
          <w:color w:val="475569"/>
        </w:rPr>
        <w:t xml:space="preserve">EP037 operator memo and worksheet</w:t>
      </w:r>
    </w:p>
    <w:p>
      <w:pPr>
        <w:jc w:val="center"/>
        <w:spacing w:after="40"/>
      </w:pPr>
      <w:r>
        <w:rPr>
          <w:rFonts w:ascii="Helvetica" w:hAnsi="Helvetica" w:cs="Helvetica"/>
          <w:sz w:val="19"/>
          <w:sz-cs w:val="19"/>
          <w:color w:val="475569"/>
        </w:rPr>
        <w:t xml:space="preserve">Published July 20, 2026   |   Runtime 19m 54s</w:t>
      </w:r>
    </w:p>
    <w:p>
      <w:pPr>
        <w:jc w:val="center"/>
        <w:spacing w:after="180"/>
      </w:pPr>
      <w:r>
        <w:rPr>
          <w:rFonts w:ascii="Helvetica" w:hAnsi="Helvetica" w:cs="Helvetica"/>
          <w:sz w:val="19"/>
          <w:sz-cs w:val="19"/>
          <w:color w:val="475569"/>
        </w:rPr>
        <w:t xml:space="preserve">Signals, assignments, and next-week actions</w:t>
      </w:r>
    </w:p>
    <w:p>
      <w:pPr>
        <w:spacing w:after="80"/>
      </w:pPr>
      <w:r>
        <w:rPr>
          <w:rFonts w:ascii="Helvetica" w:hAnsi="Helvetica" w:cs="Helvetica"/>
          <w:sz w:val="25"/>
          <w:sz-cs w:val="25"/>
          <w:b/>
          <w:color w:val="13645B"/>
        </w:rPr>
        <w:t xml:space="preserve">SIGNAL BRIEF</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AI Change Desk is back with a simpler format: one focused weekly episode, built for a commute.</w:t>
      </w:r>
    </w:p>
    <w:p>
      <w:pPr>
        <w:spacing w:after="100"/>
      </w:pPr>
      <w:r>
        <w:rPr>
          <w:rFonts w:ascii="Helvetica" w:hAnsi="Helvetica" w:cs="Helvetica"/>
          <w:sz w:val="22"/>
          <w:sz-cs w:val="22"/>
          <w:color w:val="0F172A"/>
        </w:rPr>
        <w:t xml:space="preserve">In this episode, Michael briefly explains the hiatus, his move from GTO to the State of Oregon, and the family logistics behind the reset. Then the Desk turns to the operating question that matters now:</w:t>
      </w:r>
    </w:p>
    <w:p>
      <w:pPr>
        <w:spacing w:after="100"/>
      </w:pPr>
      <w:r>
        <w:rPr>
          <w:rFonts w:ascii="Helvetica" w:hAnsi="Helvetica" w:cs="Helvetica"/>
          <w:sz w:val="22"/>
          <w:sz-cs w:val="22"/>
          <w:color w:val="0F172A"/>
        </w:rPr>
        <w:t xml:space="preserve">When an AI agent says the work is done, what receipt proves it?</w:t>
      </w:r>
    </w:p>
    <w:p>
      <w:pPr>
        <w:spacing w:after="100"/>
      </w:pPr>
      <w:r>
        <w:rPr>
          <w:rFonts w:ascii="Helvetica" w:hAnsi="Helvetica" w:cs="Helvetica"/>
          <w:sz w:val="22"/>
          <w:sz-cs w:val="22"/>
          <w:color w:val="0F172A"/>
        </w:rPr>
        <w:t xml:space="preserve">OpenAI's latest enterprise scorecard shifts measurement away from seats, token volume, and activity toward useful work, successful-task cost, dependability, and value at scale. ChatGPT Work makes execution context and local-versus-cloud custody part of the evidence path. Microsoft Agent 365 and Copilot Studio show why inventory, licensing, policy state, logs, memory, skills, model choice, and delegated agents also belong on the receipt.</w:t>
      </w:r>
    </w:p>
    <w:p>
      <w:pPr>
        <w:spacing w:after="80"/>
      </w:pPr>
      <w:r>
        <w:rPr>
          <w:rFonts w:ascii="Helvetica" w:hAnsi="Helvetica" w:cs="Helvetica"/>
          <w:sz w:val="25"/>
          <w:sz-cs w:val="25"/>
          <w:b/>
          <w:color w:val="13645B"/>
        </w:rPr>
        <w:t xml:space="preserve">WHAT TO WATCH</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w:t>
        <w:tab/>
        <w:t xml:space="preserve">OpenAI scorecard and Work launch shift AI measurement toward accepted outcomes, full task cost, dependability, and governed execution</w:t>
      </w:r>
    </w:p>
    <w:p>
      <w:pPr>
        <w:ind w:left="540" w:first-line="-270"/>
        <w:spacing w:after="70"/>
      </w:pPr>
      <w:r>
        <w:rPr>
          <w:rFonts w:ascii="Helvetica" w:hAnsi="Helvetica" w:cs="Helvetica"/>
          <w:sz w:val="22"/>
          <w:sz-cs w:val="22"/>
          <w:color w:val="0F172A"/>
        </w:rPr>
        <w:t xml:space="preserve">•</w:t>
        <w:tab/>
        <w:t xml:space="preserve">ChatGPT desktop Work continuity makes local-versus-cloud custody part of the receipt</w:t>
      </w:r>
    </w:p>
    <w:p>
      <w:pPr>
        <w:ind w:left="540" w:first-line="-270"/>
        <w:spacing w:after="70"/>
      </w:pPr>
      <w:r>
        <w:rPr>
          <w:rFonts w:ascii="Helvetica" w:hAnsi="Helvetica" w:cs="Helvetica"/>
          <w:sz w:val="22"/>
          <w:sz-cs w:val="22"/>
          <w:color w:val="0F172A"/>
        </w:rPr>
        <w:t xml:space="preserve">•</w:t>
        <w:tab/>
        <w:t xml:space="preserve">Microsoft agent governance documentation makes registry, observability, policy, memory, skills, model choice, and delegation reviewable</w:t>
      </w:r>
    </w:p>
    <w:p>
      <w:pPr>
        <w:spacing w:after="80"/>
      </w:pPr>
      <w:r>
        <w:rPr>
          <w:rFonts w:ascii="Helvetica" w:hAnsi="Helvetica" w:cs="Helvetica"/>
          <w:sz w:val="25"/>
          <w:sz-cs w:val="25"/>
          <w:b/>
          <w:color w:val="13645B"/>
        </w:rPr>
        <w:t xml:space="preserve">OPERATIONAL SHIFT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When an AI agent says the work is finished, what receipt proves the right outcome was delivered at an acceptable total cost, under approved access, evidence, and review conditions?</w:t>
      </w:r>
    </w:p>
    <w:p>
      <w:pPr>
        <w:spacing w:after="80"/>
      </w:pPr>
      <w:r>
        <w:rPr>
          <w:rFonts w:ascii="Helvetica" w:hAnsi="Helvetica" w:cs="Helvetica"/>
          <w:sz w:val="25"/>
          <w:sz-cs w:val="25"/>
          <w:b/>
          <w:color w:val="13645B"/>
        </w:rPr>
        <w:t xml:space="preserve">THIS WEEK'S MOVES</w:t>
      </w:r>
      <w:r>
        <w:rPr>
          <w:rFonts w:ascii="Helvetica" w:hAnsi="Helvetica" w:cs="Helvetica"/>
          <w:sz w:val="25"/>
          <w:sz-cs w:val="25"/>
          <w:color w:val="13645B"/>
        </w:rPr>
        <w:t xml:space="preserve"/>
      </w:r>
    </w:p>
    <w:p>
      <w:pPr>
        <w:ind w:left="540" w:first-line="-270"/>
        <w:spacing w:after="70"/>
      </w:pPr>
      <w:r>
        <w:rPr>
          <w:rFonts w:ascii="Helvetica" w:hAnsi="Helvetica" w:cs="Helvetica"/>
          <w:sz w:val="22"/>
          <w:sz-cs w:val="22"/>
          <w:color w:val="0F172A"/>
        </w:rPr>
        <w:t xml:space="preserve">1.</w:t>
        <w:tab/>
        <w:t xml:space="preserve">Name one owner, one deadline, and one proof point for the most important signal in this episode.</w:t>
      </w:r>
    </w:p>
    <w:p>
      <w:pPr>
        <w:spacing w:after="80"/>
      </w:pPr>
      <w:r>
        <w:rPr>
          <w:rFonts w:ascii="Helvetica" w:hAnsi="Helvetica" w:cs="Helvetica"/>
          <w:sz w:val="25"/>
          <w:sz-cs w:val="25"/>
          <w:b/>
          <w:color w:val="13645B"/>
        </w:rPr>
        <w:t xml:space="preserve">WORKING SHEET</w:t>
      </w:r>
      <w:r>
        <w:rPr>
          <w:rFonts w:ascii="Helvetica" w:hAnsi="Helvetica" w:cs="Helvetica"/>
          <w:sz w:val="25"/>
          <w:sz-cs w:val="25"/>
          <w:color w:val="13645B"/>
        </w:rPr>
        <w:t xml:space="preserve"/>
      </w:r>
    </w:p>
    <w:p>
      <w:pPr>
        <w:spacing w:after="90"/>
      </w:pPr>
      <w:r>
        <w:rPr>
          <w:rFonts w:ascii="Helvetica" w:hAnsi="Helvetica" w:cs="Helvetica"/>
          <w:sz w:val="21"/>
          <w:sz-cs w:val="21"/>
          <w:color w:val="475569"/>
        </w:rPr>
        <w:t xml:space="preserve">Use these boxes during a weekly planning pass or handoff review.</w:t>
      </w:r>
    </w:p>
    <w:p>
      <w:pPr>
        <w:ind w:left="120"/>
        <w:spacing w:before="40" w:after="120"/>
      </w:pPr>
      <w:r>
        <w:rPr>
          <w:rFonts w:ascii="Helvetica" w:hAnsi="Helvetica" w:cs="Helvetica"/>
          <w:sz w:val="21"/>
          <w:sz-cs w:val="21"/>
          <w:b/>
          <w:color w:val="0F172A"/>
        </w:rPr>
        <w:t xml:space="preserve">Signal 1</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2</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ind w:left="120"/>
        <w:spacing w:before="40" w:after="120"/>
      </w:pPr>
      <w:r>
        <w:rPr>
          <w:rFonts w:ascii="Helvetica" w:hAnsi="Helvetica" w:cs="Helvetica"/>
          <w:sz w:val="21"/>
          <w:sz-cs w:val="21"/>
          <w:b/>
          <w:color w:val="0F172A"/>
        </w:rPr>
        <w:t xml:space="preserve">Signal 3</w:t>
      </w:r>
      <w:r>
        <w:rPr>
          <w:rFonts w:ascii="Helvetica" w:hAnsi="Helvetica" w:cs="Helvetica"/>
          <w:sz w:val="21"/>
          <w:sz-cs w:val="21"/>
          <w:color w:val="0F172A"/>
        </w:rPr>
        <w:t xml:space="preserve"/>
        <w:br/>
        <w:t xml:space="preserve">Owner: ________________________________</w:t>
        <w:br/>
        <w:t xml:space="preserve">Decision: _____________________________</w:t>
        <w:br/>
        <w:t xml:space="preserve">Due: ____________</w:t>
        <w:br/>
        <w:t xml:space="preserve">Evidence: _____________________________</w:t>
      </w:r>
    </w:p>
    <w:p>
      <w:pPr>
        <w:spacing w:after="80"/>
      </w:pPr>
      <w:r>
        <w:rPr>
          <w:rFonts w:ascii="Helvetica" w:hAnsi="Helvetica" w:cs="Helvetica"/>
          <w:sz w:val="25"/>
          <w:sz-cs w:val="25"/>
          <w:b/>
          <w:color w:val="13645B"/>
        </w:rPr>
        <w:t xml:space="preserve">TEAM PROMPT</w:t>
      </w:r>
      <w:r>
        <w:rPr>
          <w:rFonts w:ascii="Helvetica" w:hAnsi="Helvetica" w:cs="Helvetica"/>
          <w:sz w:val="25"/>
          <w:sz-cs w:val="25"/>
          <w:color w:val="13645B"/>
        </w:rPr>
        <w:t xml:space="preserve"/>
      </w:r>
    </w:p>
    <w:p>
      <w:pPr>
        <w:spacing w:after="100"/>
      </w:pPr>
      <w:r>
        <w:rPr>
          <w:rFonts w:ascii="Helvetica" w:hAnsi="Helvetica" w:cs="Helvetica"/>
          <w:sz w:val="22"/>
          <w:sz-cs w:val="22"/>
          <w:color w:val="0F172A"/>
        </w:rPr>
        <w:t xml:space="preserve">What is the one decision, assignment, or control your team should stop postponing this week?</w:t>
      </w:r>
    </w:p>
    <w:p>
      <w:pPr>
        <w:spacing w:after="80"/>
      </w:pPr>
      <w:r>
        <w:rPr>
          <w:rFonts w:ascii="Helvetica" w:hAnsi="Helvetica" w:cs="Helvetica"/>
          <w:sz w:val="25"/>
          <w:sz-cs w:val="25"/>
          <w:b/>
          <w:color w:val="13645B"/>
        </w:rPr>
        <w:t xml:space="preserve">SOURCE RAIL</w:t>
      </w:r>
      <w:r>
        <w:rPr>
          <w:rFonts w:ascii="Helvetica" w:hAnsi="Helvetica" w:cs="Helvetica"/>
          <w:sz w:val="25"/>
          <w:sz-cs w:val="25"/>
          <w:color w:val="13645B"/>
        </w:rPr>
        <w:t xml:space="preserve"/>
      </w:r>
    </w:p>
    <w:p>
      <w:pPr>
        <w:ind w:left="540" w:first-line="-270"/>
        <w:spacing w:after="70"/>
      </w:pPr>
      <w:r>
        <w:rPr>
          <w:rFonts w:ascii="Helvetica" w:hAnsi="Helvetica" w:cs="Helvetica"/>
          <w:sz w:val="21"/>
          <w:sz-cs w:val="21"/>
          <w:color w:val="13645B"/>
        </w:rPr>
        <w:t xml:space="preserve">•</w:t>
        <w:tab/>
        <w:t xml:space="preserve">Episode page: </w:t>
      </w:r>
      <w:r>
        <w:rPr>
          <w:rFonts w:ascii="Helvetica" w:hAnsi="Helvetica" w:cs="Helvetica"/>
          <w:sz w:val="21"/>
          <w:sz-cs w:val="21"/>
          <w:color w:val="13645B"/>
        </w:rPr>
        <w:t xml:space="preserve">https://www.michaelhbm.com/AiChangeDesk/</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Transcript: </w:t>
      </w:r>
      <w:r>
        <w:rPr>
          <w:rFonts w:ascii="Helvetica" w:hAnsi="Helvetica" w:cs="Helvetica"/>
          <w:sz w:val="21"/>
          <w:sz-cs w:val="21"/>
          <w:color w:val="13645B"/>
        </w:rPr>
        <w:t xml:space="preserve">https://storage.googleapis.com/site-app-html/AIChangeDesk/transcripts/ep037-work-agent-receipt-check.txt</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`A scorecard for the AI age`: </w:t>
      </w:r>
      <w:r>
        <w:rPr>
          <w:rFonts w:ascii="Helvetica" w:hAnsi="Helvetica" w:cs="Helvetica"/>
          <w:sz w:val="21"/>
          <w:sz-cs w:val="21"/>
          <w:color w:val="13645B"/>
        </w:rPr>
        <w:t xml:space="preserve">https://openai.com/index/a-scorecard-for-the-ai-age/</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Help Center, `ChatGPT - Release Notes`: </w:t>
      </w:r>
      <w:r>
        <w:rPr>
          <w:rFonts w:ascii="Helvetica" w:hAnsi="Helvetica" w:cs="Helvetica"/>
          <w:sz w:val="21"/>
          <w:sz-cs w:val="21"/>
          <w:color w:val="13645B"/>
        </w:rPr>
        <w:t xml:space="preserve">https://help.openai.com/en/articles/6825453-chatgpt-release-notes</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OpenAI Help Center, `ChatGPT Work and Codex`: </w:t>
      </w:r>
      <w:r>
        <w:rPr>
          <w:rFonts w:ascii="Helvetica" w:hAnsi="Helvetica" w:cs="Helvetica"/>
          <w:sz w:val="21"/>
          <w:sz-cs w:val="21"/>
          <w:color w:val="13645B"/>
        </w:rPr>
        <w:t xml:space="preserve">https://help.openai.com/en/articles/20001275/</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Microsoft Learn, `Transition Microsoft Copilot Studio and Microsoft Foundry agent security capabilities to Microsoft Agent 365`: </w:t>
      </w:r>
      <w:r>
        <w:rPr>
          <w:rFonts w:ascii="Helvetica" w:hAnsi="Helvetica" w:cs="Helvetica"/>
          <w:sz w:val="21"/>
          <w:sz-cs w:val="21"/>
          <w:color w:val="13645B"/>
        </w:rPr>
        <w:t xml:space="preserve">https://learn.microsoft.com/en-us/defender-xdr/security-for-ai/transition-agent-security-to-agent-365</w:t>
      </w:r>
      <w:r>
        <w:rPr>
          <w:rFonts w:ascii="Helvetica" w:hAnsi="Helvetica" w:cs="Helvetica"/>
          <w:sz w:val="21"/>
          <w:sz-cs w:val="21"/>
          <w:color w:val="13645B"/>
        </w:rPr>
        <w:t xml:space="preserve"/>
      </w:r>
    </w:p>
    <w:p>
      <w:pPr>
        <w:ind w:left="540" w:first-line="-270"/>
        <w:spacing w:after="70"/>
      </w:pPr>
      <w:r>
        <w:rPr>
          <w:rFonts w:ascii="Helvetica" w:hAnsi="Helvetica" w:cs="Helvetica"/>
          <w:sz w:val="21"/>
          <w:sz-cs w:val="21"/>
          <w:color w:val="13645B"/>
        </w:rPr>
        <w:t xml:space="preserve">•</w:t>
        <w:tab/>
        <w:t xml:space="preserve">Microsoft Learn, `What's new in Copilot Studio`: </w:t>
      </w:r>
      <w:r>
        <w:rPr>
          <w:rFonts w:ascii="Helvetica" w:hAnsi="Helvetica" w:cs="Helvetica"/>
          <w:sz w:val="21"/>
          <w:sz-cs w:val="21"/>
          <w:color w:val="13645B"/>
        </w:rPr>
        <w:t xml:space="preserve">https://learn.microsoft.com/en-us/microsoft-copilot-studio/whats-new</w:t>
      </w:r>
      <w:r>
        <w:rPr>
          <w:rFonts w:ascii="Helvetica" w:hAnsi="Helvetica" w:cs="Helvetica"/>
          <w:sz w:val="21"/>
          <w:sz-cs w:val="21"/>
          <w:color w:val="13645B"/>
        </w:rPr>
        <w:t xml:space="preserve"/>
      </w:r>
    </w:p>
    <w:p>
      <w:pPr/>
      <w:r>
        <w:rPr>
          <w:rFonts w:ascii="Helvetica" w:hAnsi="Helvetica" w:cs="Helvetica"/>
          <w:sz w:val="18"/>
          <w:sz-cs w:val="18"/>
          <w:i/>
          <w:color w:val="475569"/>
        </w:rPr>
        <w:t xml:space="preserve">Generated 2026-07-21T17:32:48Z</w:t>
      </w:r>
      <w:r>
        <w:rPr>
          <w:rFonts w:ascii="Helvetica" w:hAnsi="Helvetica" w:cs="Helvetica"/>
          <w:sz w:val="18"/>
          <w:sz-cs w:val="18"/>
          <w:color w:val="475569"/>
        </w:rPr>
        <w:t xml:space="preserve"/>
      </w:r>
    </w:p>
    <w:sectPr>
      <w:pgSz w:w="12240" w:h="15840"/>
      <w:pgMar w:top="1080" w:right="1080" w:bottom="1080" w:left="108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AI Change Desk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EP037 Work Agent Receipt Check - Practitioner Cheat Sheet</dc:title>
  <dc:creator>Michael Hanna-Butros Meyering</dc:creator>
</cp:coreProperties>
</file>

<file path=docProps/meta.xml><?xml version="1.0" encoding="utf-8"?>
<meta xmlns="http://schemas.apple.com/cocoa/2006/metadata">
  <generator>CocoaOOXMLWriter/2685.6</generator>
</meta>
</file>